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173990</wp:posOffset>
            </wp:positionV>
            <wp:extent cx="5579745" cy="1783080"/>
            <wp:effectExtent l="0" t="0" r="13334" b="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783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川律协〔202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80" w:lineRule="exact"/>
        <w:rPr>
          <w:rFonts w:ascii="华文中宋" w:hAnsi="华文中宋" w:eastAsia="华文中宋"/>
          <w:sz w:val="24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关于报名参加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青年律师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领军人才训练营的通知</w:t>
      </w:r>
    </w:p>
    <w:p>
      <w:pPr>
        <w:pStyle w:val="2"/>
        <w:spacing w:line="540" w:lineRule="exact"/>
        <w:rPr>
          <w:rFonts w:hint="eastAsia" w:ascii="方正小标宋简体" w:hAnsi="方正小标宋简体" w:eastAsia="方正小标宋简体" w:cs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pacing w:val="-6"/>
          <w:sz w:val="32"/>
          <w:szCs w:val="32"/>
        </w:rPr>
        <w:t>各市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州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律师协会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为建设一支与四川经济社会发展相适应的青年律师队伍，进一步提高我省青年律师的政治素养，增强使命感，培养有担当、有作为、高素质的青年律师领军人才，保障法治四川建设、服务我省经济社会发展，现将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第二届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青年律师领军人才培训营（以下简称“青训营”）报名工作相关事宜通知如下：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一、参训对象条件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坚持正确的政治方向，坚决拥护中国共产党的领导、拥护社会主义法治，年龄在40周岁以下（原则上198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年1月1日后出生），并具备以下条件的专职律师: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恪守律师职业道德和执业纪律，有良好的社会声誉；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具有较强的责任感，认真履行行业管理工作职责，愿意对律师行业发展作出贡献；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勇于承担社会责任，积极参与公益法律服务活动；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拥有8年以上独立执业经验并具备下列条件之一（具有专业特长、特殊奖励或者特别优秀的可适当放宽执业年限）: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在省、市律师协会担任理事或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监事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及以上职务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担任省、市律师协会“两专委”委员且在律师事务所担任主任、副主任、合伙人或律所管理合伙人，愿意参与律师协会行业管理工作的律师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全国律协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青年律师领军人才训练营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及第一届四川省青年律师领军人才训练营</w:t>
      </w:r>
      <w:r>
        <w:rPr>
          <w:rFonts w:hint="eastAsia" w:ascii="仿宋_GB2312" w:hAnsi="仿宋_GB2312" w:eastAsia="仿宋_GB2312" w:cs="仿宋_GB2312"/>
          <w:sz w:val="32"/>
          <w:szCs w:val="32"/>
        </w:rPr>
        <w:t>的律师将不作为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本次青训营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候选人。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二、参训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推荐及审核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律协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本地情况，按照推荐条件和分配名额向省律协推荐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省律协将对候选人资格进行复核，符合条件的人员将取得青训营培训资格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、相关费用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训练营统一安排食宿，相关学习费用及食宿费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由省律协承担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往返交通费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由学员自理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有条件的律所或市州律协可予以补贴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、注意事项及纪律要求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培训时间视疫情防控要求，具体日期、地点将另行通知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报名时，请严格按照填表说明填写报名资料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参训学</w:t>
      </w: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需准时参训，不得缺席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参训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学员需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严格遵守考勤纪律，不得请假。无故缺勤的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员及培训期间违反纪律的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员将影响自己及所在市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州律师协会今后参加省律协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活动的资格。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材料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要求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律协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日17:00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前，以书面、电子文档两种方式报送材料（邮件注明“XX律协第二届青训营候选人推荐材料”），包括：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第二届四川省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青年律师领军人才训练营报名表》（附件1）；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第二届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四川省青年律师领军人才训练营个人信息登记表》（附件2）；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事务所出具的任职证明，包括现任职务及任职时间（加盖事务所公章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电子版为扫描的PDF文件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免冠蓝底正装彩色2寸照片</w:t>
      </w:r>
      <w:r>
        <w:rPr>
          <w:rFonts w:hint="default" w:ascii="仿宋_GB2312" w:hAnsi="仿宋_GB2312" w:eastAsia="仿宋_GB2312" w:cs="仿宋_GB2312"/>
          <w:sz w:val="32"/>
          <w:szCs w:val="32"/>
        </w:rPr>
        <w:t>（纸质版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和大于100Kb的</w:t>
      </w:r>
      <w:r>
        <w:rPr>
          <w:rFonts w:hint="default" w:ascii="仿宋_GB2312" w:hAnsi="仿宋_GB2312" w:eastAsia="仿宋_GB2312" w:cs="仿宋_GB2312"/>
          <w:sz w:val="32"/>
          <w:szCs w:val="32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照片</w:t>
      </w:r>
      <w:r>
        <w:rPr>
          <w:rFonts w:hint="default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推荐学员的无行政处罚证明、无行业处分证明和党员律师的无党纪处分证明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电子版为扫描的PDF文件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adjustRightInd/>
        <w:snapToGrid/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1.第二届四川省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青年律师领军人才训练营报名表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2.第二届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四川省青年律师领军人才训练营个人信息登记表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3.第二届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四川省青年律师领军人才培训名额分配表</w:t>
      </w:r>
    </w:p>
    <w:p>
      <w:pPr>
        <w:spacing w:line="580" w:lineRule="exact"/>
        <w:ind w:firstLine="3520" w:firstLineChars="1100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80" w:lineRule="exact"/>
        <w:ind w:firstLine="3520" w:firstLineChars="1100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80" w:lineRule="exact"/>
        <w:ind w:firstLine="3520" w:firstLineChars="1100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wordWrap w:val="0"/>
        <w:spacing w:line="580" w:lineRule="exact"/>
        <w:ind w:firstLine="3520" w:firstLineChars="1100"/>
        <w:jc w:val="righ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四川省律师协会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spacing w:line="58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25日</w:t>
      </w:r>
    </w:p>
    <w:p>
      <w:pPr>
        <w:pStyle w:val="2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8"/>
        <w:tblpPr w:leftFromText="181" w:rightFromText="181" w:tblpXSpec="center" w:tblpYSpec="bottom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ind w:firstLine="280" w:firstLineChars="100"/>
              <w:rPr>
                <w:rFonts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发：省律协青工委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tcBorders>
              <w:tl2br w:val="nil"/>
              <w:tr2bl w:val="nil"/>
            </w:tcBorders>
          </w:tcPr>
          <w:p>
            <w:pPr>
              <w:pStyle w:val="2"/>
              <w:ind w:firstLine="280" w:firstLineChars="100"/>
              <w:rPr>
                <w:rFonts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四川省律师协会秘书处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2021年11月25日印发</w:t>
            </w:r>
          </w:p>
        </w:tc>
      </w:tr>
    </w:tbl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444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widowControl w:val="0"/>
        <w:adjustRightInd/>
        <w:snapToGrid/>
        <w:spacing w:after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tbl>
      <w:tblPr>
        <w:tblStyle w:val="7"/>
        <w:tblpPr w:leftFromText="180" w:rightFromText="180" w:vertAnchor="text" w:horzAnchor="page" w:tblpX="1797" w:tblpY="1049"/>
        <w:tblOverlap w:val="never"/>
        <w:tblW w:w="85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57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名额（人）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成  都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自  贡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攀枝花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泸  州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德  阳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绵  阳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广  元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遂  宁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内  江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乐  山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南  充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宜  宾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广  安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达  州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巴  中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雅  安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眉  山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  阳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阿  坝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甘  孜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凉  山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省律协青工委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5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>
      <w:pPr>
        <w:pStyle w:val="2"/>
        <w:jc w:val="center"/>
        <w:rPr>
          <w:rFonts w:hint="eastAsia" w:ascii="华文中宋" w:hAnsi="华文中宋" w:eastAsia="华文中宋" w:cs="华文中宋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spacing w:val="-20"/>
          <w:kern w:val="2"/>
          <w:sz w:val="32"/>
          <w:szCs w:val="32"/>
          <w:lang w:val="en-US" w:eastAsia="zh-CN" w:bidi="ar-SA"/>
        </w:rPr>
        <w:t>四川省青年律师领军人才培训名额分配表</w:t>
      </w:r>
    </w:p>
    <w:p>
      <w:pPr>
        <w:widowControl w:val="0"/>
        <w:tabs>
          <w:tab w:val="left" w:pos="1440"/>
        </w:tabs>
        <w:spacing w:after="0" w:line="460" w:lineRule="exact"/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"/>
        </w:rPr>
      </w:pPr>
    </w:p>
    <w:sectPr>
      <w:pgSz w:w="11906" w:h="16838"/>
      <w:pgMar w:top="175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AD01775-B50F-4FB5-B190-8296C59E0AB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DDB974E-10A4-4678-95E7-107DA540B8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67E442CD-B8D5-4456-82B2-6C9470A5041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D9650C6-6C12-4646-93CA-08C8647F42D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4AE000D-7545-465A-A4E7-EB9F2679EFD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C4D1B0F2-24CE-494B-AA7F-B9D665D00D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D5E92F88-209D-41E8-AA6E-BDE67B8FAA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39"/>
    <w:rsid w:val="00133D78"/>
    <w:rsid w:val="00215D99"/>
    <w:rsid w:val="00442D41"/>
    <w:rsid w:val="00496282"/>
    <w:rsid w:val="005364E7"/>
    <w:rsid w:val="0054745C"/>
    <w:rsid w:val="005B0184"/>
    <w:rsid w:val="00617A84"/>
    <w:rsid w:val="00676439"/>
    <w:rsid w:val="00963CC7"/>
    <w:rsid w:val="00A0244E"/>
    <w:rsid w:val="00D5128F"/>
    <w:rsid w:val="00F74507"/>
    <w:rsid w:val="00FB34CD"/>
    <w:rsid w:val="01C92432"/>
    <w:rsid w:val="03215D1F"/>
    <w:rsid w:val="03D86FAE"/>
    <w:rsid w:val="052619A0"/>
    <w:rsid w:val="073979F5"/>
    <w:rsid w:val="08761929"/>
    <w:rsid w:val="099D2EEB"/>
    <w:rsid w:val="0B4D75C8"/>
    <w:rsid w:val="0B6D3218"/>
    <w:rsid w:val="0BD70BD0"/>
    <w:rsid w:val="0C71045B"/>
    <w:rsid w:val="0D51012F"/>
    <w:rsid w:val="0EEA5DCB"/>
    <w:rsid w:val="10163F7B"/>
    <w:rsid w:val="129A4277"/>
    <w:rsid w:val="15F25A39"/>
    <w:rsid w:val="16570258"/>
    <w:rsid w:val="169C1167"/>
    <w:rsid w:val="16F8006A"/>
    <w:rsid w:val="19132257"/>
    <w:rsid w:val="19E72F93"/>
    <w:rsid w:val="1A236EF0"/>
    <w:rsid w:val="1BE72120"/>
    <w:rsid w:val="1C2952B1"/>
    <w:rsid w:val="1CB469F7"/>
    <w:rsid w:val="1D4C3741"/>
    <w:rsid w:val="1DD95C51"/>
    <w:rsid w:val="1E8256F3"/>
    <w:rsid w:val="1FD41077"/>
    <w:rsid w:val="20D11826"/>
    <w:rsid w:val="213612BC"/>
    <w:rsid w:val="21385444"/>
    <w:rsid w:val="22847342"/>
    <w:rsid w:val="22DD0FF4"/>
    <w:rsid w:val="24E041C3"/>
    <w:rsid w:val="253F6F44"/>
    <w:rsid w:val="283E5BB5"/>
    <w:rsid w:val="28D15A5D"/>
    <w:rsid w:val="292706E5"/>
    <w:rsid w:val="2B7F62C2"/>
    <w:rsid w:val="2D7E5EA2"/>
    <w:rsid w:val="30021B62"/>
    <w:rsid w:val="30E720AD"/>
    <w:rsid w:val="316D6D11"/>
    <w:rsid w:val="31813452"/>
    <w:rsid w:val="328E190C"/>
    <w:rsid w:val="32B41536"/>
    <w:rsid w:val="33B6709C"/>
    <w:rsid w:val="342948FA"/>
    <w:rsid w:val="34922EBB"/>
    <w:rsid w:val="35521AB4"/>
    <w:rsid w:val="35975A06"/>
    <w:rsid w:val="372E5424"/>
    <w:rsid w:val="37740DFF"/>
    <w:rsid w:val="37D95F55"/>
    <w:rsid w:val="3921178D"/>
    <w:rsid w:val="3A120883"/>
    <w:rsid w:val="3AFD3A54"/>
    <w:rsid w:val="3C396F7E"/>
    <w:rsid w:val="3E491B20"/>
    <w:rsid w:val="3F983D89"/>
    <w:rsid w:val="40A409E3"/>
    <w:rsid w:val="417478B8"/>
    <w:rsid w:val="43D9106E"/>
    <w:rsid w:val="44D4149E"/>
    <w:rsid w:val="45CF4C28"/>
    <w:rsid w:val="47A16C31"/>
    <w:rsid w:val="48793F67"/>
    <w:rsid w:val="4B375749"/>
    <w:rsid w:val="4C294603"/>
    <w:rsid w:val="4E9407BC"/>
    <w:rsid w:val="4F827600"/>
    <w:rsid w:val="4FA113E3"/>
    <w:rsid w:val="511D4E8C"/>
    <w:rsid w:val="532E3701"/>
    <w:rsid w:val="54837326"/>
    <w:rsid w:val="54923332"/>
    <w:rsid w:val="54ED0C26"/>
    <w:rsid w:val="56286FEA"/>
    <w:rsid w:val="5639745C"/>
    <w:rsid w:val="56764079"/>
    <w:rsid w:val="56A21550"/>
    <w:rsid w:val="57D61772"/>
    <w:rsid w:val="57F54B26"/>
    <w:rsid w:val="58B3547E"/>
    <w:rsid w:val="58EE1ED9"/>
    <w:rsid w:val="591701ED"/>
    <w:rsid w:val="5A575CC9"/>
    <w:rsid w:val="5B8C0C2C"/>
    <w:rsid w:val="5C4D7870"/>
    <w:rsid w:val="5C692603"/>
    <w:rsid w:val="5D8A62C9"/>
    <w:rsid w:val="5F0B091B"/>
    <w:rsid w:val="5FD73895"/>
    <w:rsid w:val="5FE531C8"/>
    <w:rsid w:val="601E7870"/>
    <w:rsid w:val="6066444E"/>
    <w:rsid w:val="61E23C27"/>
    <w:rsid w:val="63202768"/>
    <w:rsid w:val="64451C30"/>
    <w:rsid w:val="647C5D48"/>
    <w:rsid w:val="64C42450"/>
    <w:rsid w:val="64D30BC1"/>
    <w:rsid w:val="6610559F"/>
    <w:rsid w:val="67AF0D3C"/>
    <w:rsid w:val="6A656686"/>
    <w:rsid w:val="6A7C0279"/>
    <w:rsid w:val="6A7C2308"/>
    <w:rsid w:val="6B2643A4"/>
    <w:rsid w:val="6C036644"/>
    <w:rsid w:val="6CA94161"/>
    <w:rsid w:val="6D5C1801"/>
    <w:rsid w:val="6D9172AC"/>
    <w:rsid w:val="6DC163DA"/>
    <w:rsid w:val="6DFD405F"/>
    <w:rsid w:val="73146254"/>
    <w:rsid w:val="73CB4FAA"/>
    <w:rsid w:val="78601020"/>
    <w:rsid w:val="7C203113"/>
    <w:rsid w:val="7F8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8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22"/>
      <w:lang w:val="zh-CN" w:bidi="zh-CN"/>
    </w:rPr>
  </w:style>
  <w:style w:type="paragraph" w:styleId="4">
    <w:name w:val="heading 2"/>
    <w:basedOn w:val="1"/>
    <w:next w:val="1"/>
    <w:qFormat/>
    <w:uiPriority w:val="0"/>
    <w:pPr>
      <w:spacing w:line="580" w:lineRule="exact"/>
      <w:jc w:val="center"/>
      <w:outlineLvl w:val="1"/>
    </w:pPr>
    <w:rPr>
      <w:rFonts w:hint="eastAsia" w:ascii="方正小标宋简体" w:hAnsi="方正小标宋简体" w:eastAsia="方正小标宋简体"/>
      <w:kern w:val="0"/>
      <w:sz w:val="40"/>
      <w:szCs w:val="36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2020-08-10T08:16:00Z</dcterms:created>
  <dc:creator>jyy</dc:creator>
  <cp:lastModifiedBy>背影</cp:lastModifiedBy>
  <cp:lastPrinted>2020-09-21T08:47:00Z</cp:lastPrinted>
  <dcterms:modified xsi:type="dcterms:W3CDTF">2021-11-26T07:10:08Z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889D16E1A3154FF7BF5582C58043A7E8</vt:lpwstr>
  </property>
</Properties>
</file>