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76902" w14:textId="77777777" w:rsidR="005B3BDD" w:rsidRDefault="005B3BDD"/>
    <w:p w14:paraId="68146B8F" w14:textId="77777777" w:rsidR="005B3BDD" w:rsidRDefault="006F6014">
      <w:pPr>
        <w:widowControl/>
        <w:jc w:val="left"/>
        <w:rPr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F34B52" wp14:editId="329D3526">
                <wp:simplePos x="0" y="0"/>
                <wp:positionH relativeFrom="margin">
                  <wp:posOffset>610870</wp:posOffset>
                </wp:positionH>
                <wp:positionV relativeFrom="paragraph">
                  <wp:posOffset>7399655</wp:posOffset>
                </wp:positionV>
                <wp:extent cx="4408170" cy="859790"/>
                <wp:effectExtent l="0" t="0" r="0" b="0"/>
                <wp:wrapNone/>
                <wp:docPr id="26" name="文本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8226" cy="8598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C9A3DF" w14:textId="77777777" w:rsidR="005B3BDD" w:rsidRDefault="006F6014">
                            <w:pPr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48"/>
                              </w:rPr>
                              <w:t>成都市律师协会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AF34B52" id="_x0000_t202" coordsize="21600,21600" o:spt="202" path="m,l,21600r21600,l21600,xe">
                <v:stroke joinstyle="miter"/>
                <v:path gradientshapeok="t" o:connecttype="rect"/>
              </v:shapetype>
              <v:shape id="文本框 26" o:spid="_x0000_s1026" type="#_x0000_t202" style="position:absolute;margin-left:48.1pt;margin-top:582.65pt;width:347.1pt;height:67.7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" filled="f" stroked="f" strokeweight=".5pt">
                <v:textbox>
                  <w:txbxContent>
                    <w:p w14:paraId="7EC9A3DF" w14:textId="77777777" w:rsidR="005B3BDD" w:rsidRDefault="006F6014">
                      <w:pPr>
                        <w:jc w:val="center"/>
                        <w:rPr>
                          <w:b/>
                          <w:sz w:val="48"/>
                        </w:rPr>
                      </w:pPr>
                      <w:r>
                        <w:rPr>
                          <w:rFonts w:hint="eastAsia"/>
                          <w:b/>
                          <w:sz w:val="48"/>
                        </w:rPr>
                        <w:t>成都市律师协会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0CBAA9" wp14:editId="0761C6A8">
                <wp:simplePos x="0" y="0"/>
                <wp:positionH relativeFrom="margin">
                  <wp:posOffset>514985</wp:posOffset>
                </wp:positionH>
                <wp:positionV relativeFrom="paragraph">
                  <wp:posOffset>2594610</wp:posOffset>
                </wp:positionV>
                <wp:extent cx="4408170" cy="627380"/>
                <wp:effectExtent l="0" t="0" r="0" b="0"/>
                <wp:wrapNone/>
                <wp:docPr id="25" name="文本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8170" cy="6273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EF1023" w14:textId="77777777" w:rsidR="005B3BDD" w:rsidRDefault="006F6014">
                            <w:pPr>
                              <w:jc w:val="center"/>
                              <w:rPr>
                                <w:sz w:val="48"/>
                              </w:rPr>
                            </w:pPr>
                            <w:r>
                              <w:rPr>
                                <w:rFonts w:hint="eastAsia"/>
                                <w:sz w:val="48"/>
                              </w:rPr>
                              <w:t>（分会工作站版）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0CBAA9" id="文本框 25" o:spid="_x0000_s1027" type="#_x0000_t202" style="position:absolute;margin-left:40.55pt;margin-top:204.3pt;width:347.1pt;height:49.4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" filled="f" stroked="f" strokeweight=".5pt">
                <v:textbox>
                  <w:txbxContent>
                    <w:p w14:paraId="64EF1023" w14:textId="77777777" w:rsidR="005B3BDD" w:rsidRDefault="006F6014">
                      <w:pPr>
                        <w:jc w:val="center"/>
                        <w:rPr>
                          <w:sz w:val="48"/>
                        </w:rPr>
                      </w:pPr>
                      <w:r>
                        <w:rPr>
                          <w:rFonts w:hint="eastAsia"/>
                          <w:sz w:val="48"/>
                        </w:rPr>
                        <w:t>（分会工作站版）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0EC5AA" wp14:editId="4AC1F229">
                <wp:simplePos x="0" y="0"/>
                <wp:positionH relativeFrom="margin">
                  <wp:posOffset>95250</wp:posOffset>
                </wp:positionH>
                <wp:positionV relativeFrom="paragraph">
                  <wp:posOffset>751840</wp:posOffset>
                </wp:positionV>
                <wp:extent cx="5267960" cy="1460500"/>
                <wp:effectExtent l="0" t="0" r="0" b="0"/>
                <wp:wrapNone/>
                <wp:docPr id="23" name="文本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8036" cy="14603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51D885" w14:textId="77777777" w:rsidR="005B3BDD" w:rsidRDefault="006F6014">
                            <w:pPr>
                              <w:jc w:val="center"/>
                              <w:rPr>
                                <w:b/>
                                <w:sz w:val="7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72"/>
                              </w:rPr>
                              <w:t>成都市律师协会</w:t>
                            </w:r>
                          </w:p>
                          <w:p w14:paraId="28EC45ED" w14:textId="77777777" w:rsidR="005B3BDD" w:rsidRDefault="006F6014">
                            <w:pPr>
                              <w:jc w:val="center"/>
                              <w:rPr>
                                <w:b/>
                                <w:sz w:val="7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72"/>
                              </w:rPr>
                              <w:t>年度考核系统用户手册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0EC5AA" id="文本框 23" o:spid="_x0000_s1028" type="#_x0000_t202" style="position:absolute;margin-left:7.5pt;margin-top:59.2pt;width:414.8pt;height:115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" filled="f" stroked="f" strokeweight=".5pt">
                <v:textbox>
                  <w:txbxContent>
                    <w:p w14:paraId="5251D885" w14:textId="77777777" w:rsidR="005B3BDD" w:rsidRDefault="006F6014">
                      <w:pPr>
                        <w:jc w:val="center"/>
                        <w:rPr>
                          <w:b/>
                          <w:sz w:val="72"/>
                        </w:rPr>
                      </w:pPr>
                      <w:r>
                        <w:rPr>
                          <w:rFonts w:hint="eastAsia"/>
                          <w:b/>
                          <w:sz w:val="72"/>
                        </w:rPr>
                        <w:t>成都市律师协会</w:t>
                      </w:r>
                    </w:p>
                    <w:p w14:paraId="28EC45ED" w14:textId="77777777" w:rsidR="005B3BDD" w:rsidRDefault="006F6014">
                      <w:pPr>
                        <w:jc w:val="center"/>
                        <w:rPr>
                          <w:b/>
                          <w:sz w:val="72"/>
                        </w:rPr>
                      </w:pPr>
                      <w:r>
                        <w:rPr>
                          <w:rFonts w:hint="eastAsia"/>
                          <w:b/>
                          <w:sz w:val="72"/>
                        </w:rPr>
                        <w:t>年度考核系统用户手册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sz w:val="36"/>
          <w:szCs w:val="36"/>
        </w:rPr>
        <w:br w:type="page"/>
      </w:r>
    </w:p>
    <w:p w14:paraId="726F341F" w14:textId="77777777" w:rsidR="005B3BDD" w:rsidRDefault="006F6014">
      <w:pPr>
        <w:widowControl/>
        <w:jc w:val="center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lastRenderedPageBreak/>
        <w:t>目录</w:t>
      </w:r>
    </w:p>
    <w:p w14:paraId="2F2F8E09" w14:textId="77777777" w:rsidR="005B3BDD" w:rsidRDefault="005B3BDD">
      <w:pPr>
        <w:widowControl/>
        <w:spacing w:line="480" w:lineRule="auto"/>
        <w:jc w:val="center"/>
        <w:rPr>
          <w:b/>
          <w:sz w:val="36"/>
          <w:szCs w:val="36"/>
        </w:rPr>
      </w:pPr>
    </w:p>
    <w:p w14:paraId="4E68C403" w14:textId="77777777" w:rsidR="005B3BDD" w:rsidRDefault="006F6014">
      <w:pPr>
        <w:pStyle w:val="TOC1"/>
        <w:tabs>
          <w:tab w:val="right" w:leader="dot" w:pos="8296"/>
        </w:tabs>
        <w:spacing w:line="480" w:lineRule="auto"/>
        <w:rPr>
          <w:rFonts w:ascii="宋体" w:eastAsia="宋体" w:hAnsi="宋体" w:cs="宋体"/>
          <w:sz w:val="28"/>
          <w:szCs w:val="28"/>
        </w:rPr>
      </w:pPr>
      <w:r>
        <w:rPr>
          <w:b/>
          <w:sz w:val="36"/>
          <w:szCs w:val="36"/>
        </w:rPr>
        <w:fldChar w:fldCharType="begin"/>
      </w:r>
      <w:r>
        <w:rPr>
          <w:b/>
          <w:sz w:val="36"/>
          <w:szCs w:val="36"/>
        </w:rPr>
        <w:instrText xml:space="preserve"> </w:instrText>
      </w:r>
      <w:r>
        <w:rPr>
          <w:rFonts w:hint="eastAsia"/>
          <w:b/>
          <w:sz w:val="36"/>
          <w:szCs w:val="36"/>
        </w:rPr>
        <w:instrText>TOC \o "1-3" \h \z \u</w:instrText>
      </w:r>
      <w:r>
        <w:rPr>
          <w:b/>
          <w:sz w:val="36"/>
          <w:szCs w:val="36"/>
        </w:rPr>
        <w:instrText xml:space="preserve"> </w:instrText>
      </w:r>
      <w:r>
        <w:rPr>
          <w:b/>
          <w:sz w:val="36"/>
          <w:szCs w:val="36"/>
        </w:rPr>
        <w:fldChar w:fldCharType="separate"/>
      </w:r>
      <w:hyperlink w:anchor="_Toc510199275" w:history="1">
        <w:r>
          <w:rPr>
            <w:rStyle w:val="a9"/>
            <w:rFonts w:ascii="宋体" w:eastAsia="宋体" w:hAnsi="宋体" w:cs="宋体" w:hint="eastAsia"/>
            <w:sz w:val="28"/>
            <w:szCs w:val="28"/>
          </w:rPr>
          <w:t>一、业务流程</w:t>
        </w:r>
        <w:r>
          <w:rPr>
            <w:rFonts w:ascii="宋体" w:eastAsia="宋体" w:hAnsi="宋体" w:cs="宋体" w:hint="eastAsia"/>
            <w:sz w:val="28"/>
            <w:szCs w:val="28"/>
          </w:rPr>
          <w:tab/>
        </w:r>
        <w:r>
          <w:rPr>
            <w:rFonts w:ascii="宋体" w:eastAsia="宋体" w:hAnsi="宋体" w:cs="宋体" w:hint="eastAsia"/>
            <w:sz w:val="28"/>
            <w:szCs w:val="28"/>
          </w:rPr>
          <w:fldChar w:fldCharType="begin"/>
        </w:r>
        <w:r>
          <w:rPr>
            <w:rFonts w:ascii="宋体" w:eastAsia="宋体" w:hAnsi="宋体" w:cs="宋体" w:hint="eastAsia"/>
            <w:sz w:val="28"/>
            <w:szCs w:val="28"/>
          </w:rPr>
          <w:instrText xml:space="preserve"> PAGEREF _Toc510199275 \h </w:instrText>
        </w:r>
        <w:r>
          <w:rPr>
            <w:rFonts w:ascii="宋体" w:eastAsia="宋体" w:hAnsi="宋体" w:cs="宋体" w:hint="eastAsia"/>
            <w:sz w:val="28"/>
            <w:szCs w:val="28"/>
          </w:rPr>
        </w:r>
        <w:r>
          <w:rPr>
            <w:rFonts w:ascii="宋体" w:eastAsia="宋体" w:hAnsi="宋体" w:cs="宋体" w:hint="eastAsia"/>
            <w:sz w:val="28"/>
            <w:szCs w:val="28"/>
          </w:rPr>
          <w:fldChar w:fldCharType="separate"/>
        </w:r>
        <w:r>
          <w:rPr>
            <w:rFonts w:ascii="宋体" w:eastAsia="宋体" w:hAnsi="宋体" w:cs="宋体" w:hint="eastAsia"/>
            <w:sz w:val="28"/>
            <w:szCs w:val="28"/>
          </w:rPr>
          <w:t>3</w:t>
        </w:r>
        <w:r>
          <w:rPr>
            <w:rFonts w:ascii="宋体" w:eastAsia="宋体" w:hAnsi="宋体" w:cs="宋体" w:hint="eastAsia"/>
            <w:sz w:val="28"/>
            <w:szCs w:val="28"/>
          </w:rPr>
          <w:fldChar w:fldCharType="end"/>
        </w:r>
      </w:hyperlink>
    </w:p>
    <w:p w14:paraId="243491A4" w14:textId="77777777" w:rsidR="005B3BDD" w:rsidRDefault="006F6014">
      <w:pPr>
        <w:pStyle w:val="TOC1"/>
        <w:tabs>
          <w:tab w:val="right" w:leader="dot" w:pos="8296"/>
        </w:tabs>
        <w:spacing w:line="480" w:lineRule="auto"/>
        <w:rPr>
          <w:rFonts w:ascii="宋体" w:eastAsia="宋体" w:hAnsi="宋体" w:cs="宋体"/>
          <w:sz w:val="28"/>
          <w:szCs w:val="28"/>
        </w:rPr>
      </w:pPr>
      <w:hyperlink w:anchor="_Toc510199276" w:history="1">
        <w:r>
          <w:rPr>
            <w:rStyle w:val="a9"/>
            <w:rFonts w:ascii="宋体" w:eastAsia="宋体" w:hAnsi="宋体" w:cs="宋体" w:hint="eastAsia"/>
            <w:sz w:val="28"/>
            <w:szCs w:val="28"/>
          </w:rPr>
          <w:t>二、操作指南</w:t>
        </w:r>
        <w:r>
          <w:rPr>
            <w:rFonts w:ascii="宋体" w:eastAsia="宋体" w:hAnsi="宋体" w:cs="宋体" w:hint="eastAsia"/>
            <w:sz w:val="28"/>
            <w:szCs w:val="28"/>
          </w:rPr>
          <w:tab/>
        </w:r>
        <w:r>
          <w:rPr>
            <w:rFonts w:ascii="宋体" w:eastAsia="宋体" w:hAnsi="宋体" w:cs="宋体" w:hint="eastAsia"/>
            <w:sz w:val="28"/>
            <w:szCs w:val="28"/>
          </w:rPr>
          <w:fldChar w:fldCharType="begin"/>
        </w:r>
        <w:r>
          <w:rPr>
            <w:rFonts w:ascii="宋体" w:eastAsia="宋体" w:hAnsi="宋体" w:cs="宋体" w:hint="eastAsia"/>
            <w:sz w:val="28"/>
            <w:szCs w:val="28"/>
          </w:rPr>
          <w:instrText xml:space="preserve"> PAGEREF _Toc510199276 \h </w:instrText>
        </w:r>
        <w:r>
          <w:rPr>
            <w:rFonts w:ascii="宋体" w:eastAsia="宋体" w:hAnsi="宋体" w:cs="宋体" w:hint="eastAsia"/>
            <w:sz w:val="28"/>
            <w:szCs w:val="28"/>
          </w:rPr>
        </w:r>
        <w:r>
          <w:rPr>
            <w:rFonts w:ascii="宋体" w:eastAsia="宋体" w:hAnsi="宋体" w:cs="宋体" w:hint="eastAsia"/>
            <w:sz w:val="28"/>
            <w:szCs w:val="28"/>
          </w:rPr>
          <w:fldChar w:fldCharType="separate"/>
        </w:r>
        <w:r>
          <w:rPr>
            <w:rFonts w:ascii="宋体" w:eastAsia="宋体" w:hAnsi="宋体" w:cs="宋体" w:hint="eastAsia"/>
            <w:sz w:val="28"/>
            <w:szCs w:val="28"/>
          </w:rPr>
          <w:t>4</w:t>
        </w:r>
        <w:r>
          <w:rPr>
            <w:rFonts w:ascii="宋体" w:eastAsia="宋体" w:hAnsi="宋体" w:cs="宋体" w:hint="eastAsia"/>
            <w:sz w:val="28"/>
            <w:szCs w:val="28"/>
          </w:rPr>
          <w:fldChar w:fldCharType="end"/>
        </w:r>
      </w:hyperlink>
    </w:p>
    <w:p w14:paraId="0FC3FF4C" w14:textId="77777777" w:rsidR="005B3BDD" w:rsidRDefault="006F6014">
      <w:pPr>
        <w:pStyle w:val="TOC2"/>
        <w:tabs>
          <w:tab w:val="right" w:leader="dot" w:pos="8296"/>
        </w:tabs>
        <w:spacing w:line="480" w:lineRule="auto"/>
        <w:rPr>
          <w:rFonts w:ascii="宋体" w:eastAsia="宋体" w:hAnsi="宋体" w:cs="宋体"/>
          <w:sz w:val="28"/>
          <w:szCs w:val="28"/>
        </w:rPr>
      </w:pPr>
      <w:hyperlink w:anchor="_Toc510199277" w:history="1">
        <w:r>
          <w:rPr>
            <w:rStyle w:val="a9"/>
            <w:rFonts w:ascii="宋体" w:eastAsia="宋体" w:hAnsi="宋体" w:cs="宋体" w:hint="eastAsia"/>
            <w:sz w:val="28"/>
            <w:szCs w:val="28"/>
          </w:rPr>
          <w:t>2.1</w:t>
        </w:r>
        <w:r>
          <w:rPr>
            <w:rStyle w:val="a9"/>
            <w:rFonts w:ascii="宋体" w:eastAsia="宋体" w:hAnsi="宋体" w:cs="宋体" w:hint="eastAsia"/>
            <w:sz w:val="28"/>
            <w:szCs w:val="28"/>
          </w:rPr>
          <w:t>分会工作站操作指南</w:t>
        </w:r>
        <w:r>
          <w:rPr>
            <w:rFonts w:ascii="宋体" w:eastAsia="宋体" w:hAnsi="宋体" w:cs="宋体" w:hint="eastAsia"/>
            <w:sz w:val="28"/>
            <w:szCs w:val="28"/>
          </w:rPr>
          <w:tab/>
        </w:r>
        <w:r>
          <w:rPr>
            <w:rFonts w:ascii="宋体" w:eastAsia="宋体" w:hAnsi="宋体" w:cs="宋体" w:hint="eastAsia"/>
            <w:sz w:val="28"/>
            <w:szCs w:val="28"/>
          </w:rPr>
          <w:fldChar w:fldCharType="begin"/>
        </w:r>
        <w:r>
          <w:rPr>
            <w:rFonts w:ascii="宋体" w:eastAsia="宋体" w:hAnsi="宋体" w:cs="宋体" w:hint="eastAsia"/>
            <w:sz w:val="28"/>
            <w:szCs w:val="28"/>
          </w:rPr>
          <w:instrText xml:space="preserve"> PAGEREF _Toc510199277 \h </w:instrText>
        </w:r>
        <w:r>
          <w:rPr>
            <w:rFonts w:ascii="宋体" w:eastAsia="宋体" w:hAnsi="宋体" w:cs="宋体" w:hint="eastAsia"/>
            <w:sz w:val="28"/>
            <w:szCs w:val="28"/>
          </w:rPr>
        </w:r>
        <w:r>
          <w:rPr>
            <w:rFonts w:ascii="宋体" w:eastAsia="宋体" w:hAnsi="宋体" w:cs="宋体" w:hint="eastAsia"/>
            <w:sz w:val="28"/>
            <w:szCs w:val="28"/>
          </w:rPr>
          <w:fldChar w:fldCharType="separate"/>
        </w:r>
        <w:r>
          <w:rPr>
            <w:rFonts w:ascii="宋体" w:eastAsia="宋体" w:hAnsi="宋体" w:cs="宋体" w:hint="eastAsia"/>
            <w:sz w:val="28"/>
            <w:szCs w:val="28"/>
          </w:rPr>
          <w:t>4</w:t>
        </w:r>
        <w:r>
          <w:rPr>
            <w:rFonts w:ascii="宋体" w:eastAsia="宋体" w:hAnsi="宋体" w:cs="宋体" w:hint="eastAsia"/>
            <w:sz w:val="28"/>
            <w:szCs w:val="28"/>
          </w:rPr>
          <w:fldChar w:fldCharType="end"/>
        </w:r>
      </w:hyperlink>
    </w:p>
    <w:p w14:paraId="6D25BB5B" w14:textId="77777777" w:rsidR="005B3BDD" w:rsidRDefault="006F6014">
      <w:pPr>
        <w:pStyle w:val="TOC3"/>
        <w:tabs>
          <w:tab w:val="right" w:leader="dot" w:pos="8296"/>
        </w:tabs>
        <w:spacing w:line="480" w:lineRule="auto"/>
        <w:rPr>
          <w:rFonts w:ascii="宋体" w:eastAsia="宋体" w:hAnsi="宋体" w:cs="宋体"/>
          <w:sz w:val="28"/>
          <w:szCs w:val="28"/>
        </w:rPr>
      </w:pPr>
      <w:hyperlink w:anchor="_Toc510199278" w:history="1">
        <w:r>
          <w:rPr>
            <w:rStyle w:val="a9"/>
            <w:rFonts w:ascii="宋体" w:eastAsia="宋体" w:hAnsi="宋体" w:cs="宋体" w:hint="eastAsia"/>
            <w:sz w:val="28"/>
            <w:szCs w:val="28"/>
          </w:rPr>
          <w:t>2.1.1</w:t>
        </w:r>
        <w:r>
          <w:rPr>
            <w:rStyle w:val="a9"/>
            <w:rFonts w:ascii="宋体" w:eastAsia="宋体" w:hAnsi="宋体" w:cs="宋体" w:hint="eastAsia"/>
            <w:sz w:val="28"/>
            <w:szCs w:val="28"/>
          </w:rPr>
          <w:t>登录成都市律师综合管理</w:t>
        </w:r>
        <w:r>
          <w:rPr>
            <w:rStyle w:val="a9"/>
            <w:rFonts w:ascii="宋体" w:eastAsia="宋体" w:hAnsi="宋体" w:cs="宋体" w:hint="eastAsia"/>
            <w:sz w:val="28"/>
            <w:szCs w:val="28"/>
          </w:rPr>
          <w:t>信息系统</w:t>
        </w:r>
        <w:r>
          <w:rPr>
            <w:rFonts w:ascii="宋体" w:eastAsia="宋体" w:hAnsi="宋体" w:cs="宋体" w:hint="eastAsia"/>
            <w:sz w:val="28"/>
            <w:szCs w:val="28"/>
          </w:rPr>
          <w:tab/>
        </w:r>
        <w:r>
          <w:rPr>
            <w:rFonts w:ascii="宋体" w:eastAsia="宋体" w:hAnsi="宋体" w:cs="宋体" w:hint="eastAsia"/>
            <w:sz w:val="28"/>
            <w:szCs w:val="28"/>
          </w:rPr>
          <w:fldChar w:fldCharType="begin"/>
        </w:r>
        <w:r>
          <w:rPr>
            <w:rFonts w:ascii="宋体" w:eastAsia="宋体" w:hAnsi="宋体" w:cs="宋体" w:hint="eastAsia"/>
            <w:sz w:val="28"/>
            <w:szCs w:val="28"/>
          </w:rPr>
          <w:instrText xml:space="preserve"> PAGEREF _Toc510199278 \h </w:instrText>
        </w:r>
        <w:r>
          <w:rPr>
            <w:rFonts w:ascii="宋体" w:eastAsia="宋体" w:hAnsi="宋体" w:cs="宋体" w:hint="eastAsia"/>
            <w:sz w:val="28"/>
            <w:szCs w:val="28"/>
          </w:rPr>
        </w:r>
        <w:r>
          <w:rPr>
            <w:rFonts w:ascii="宋体" w:eastAsia="宋体" w:hAnsi="宋体" w:cs="宋体" w:hint="eastAsia"/>
            <w:sz w:val="28"/>
            <w:szCs w:val="28"/>
          </w:rPr>
          <w:fldChar w:fldCharType="separate"/>
        </w:r>
        <w:r>
          <w:rPr>
            <w:rFonts w:ascii="宋体" w:eastAsia="宋体" w:hAnsi="宋体" w:cs="宋体" w:hint="eastAsia"/>
            <w:sz w:val="28"/>
            <w:szCs w:val="28"/>
          </w:rPr>
          <w:t>4</w:t>
        </w:r>
        <w:r>
          <w:rPr>
            <w:rFonts w:ascii="宋体" w:eastAsia="宋体" w:hAnsi="宋体" w:cs="宋体" w:hint="eastAsia"/>
            <w:sz w:val="28"/>
            <w:szCs w:val="28"/>
          </w:rPr>
          <w:fldChar w:fldCharType="end"/>
        </w:r>
      </w:hyperlink>
    </w:p>
    <w:p w14:paraId="5B918D77" w14:textId="77777777" w:rsidR="005B3BDD" w:rsidRDefault="006F6014">
      <w:pPr>
        <w:pStyle w:val="TOC3"/>
        <w:tabs>
          <w:tab w:val="right" w:leader="dot" w:pos="8296"/>
        </w:tabs>
        <w:spacing w:line="480" w:lineRule="auto"/>
      </w:pPr>
      <w:hyperlink w:anchor="_Toc510199279" w:history="1">
        <w:r>
          <w:rPr>
            <w:rStyle w:val="a9"/>
            <w:rFonts w:ascii="宋体" w:eastAsia="宋体" w:hAnsi="宋体" w:cs="宋体" w:hint="eastAsia"/>
            <w:sz w:val="28"/>
            <w:szCs w:val="28"/>
          </w:rPr>
          <w:t>2.1.2</w:t>
        </w:r>
        <w:r>
          <w:rPr>
            <w:rStyle w:val="a9"/>
            <w:rFonts w:ascii="宋体" w:eastAsia="宋体" w:hAnsi="宋体" w:cs="宋体" w:hint="eastAsia"/>
            <w:sz w:val="28"/>
            <w:szCs w:val="28"/>
          </w:rPr>
          <w:t>分会工作站受理律所、律师</w:t>
        </w:r>
        <w:r>
          <w:rPr>
            <w:rFonts w:ascii="宋体" w:eastAsia="宋体" w:hAnsi="宋体" w:cs="宋体" w:hint="eastAsia"/>
            <w:sz w:val="28"/>
            <w:szCs w:val="28"/>
          </w:rPr>
          <w:tab/>
        </w:r>
        <w:r>
          <w:rPr>
            <w:rFonts w:ascii="宋体" w:eastAsia="宋体" w:hAnsi="宋体" w:cs="宋体" w:hint="eastAsia"/>
            <w:sz w:val="28"/>
            <w:szCs w:val="28"/>
          </w:rPr>
          <w:fldChar w:fldCharType="begin"/>
        </w:r>
        <w:r>
          <w:rPr>
            <w:rFonts w:ascii="宋体" w:eastAsia="宋体" w:hAnsi="宋体" w:cs="宋体" w:hint="eastAsia"/>
            <w:sz w:val="28"/>
            <w:szCs w:val="28"/>
          </w:rPr>
          <w:instrText xml:space="preserve"> PAGEREF _Toc510199279 \h </w:instrText>
        </w:r>
        <w:r>
          <w:rPr>
            <w:rFonts w:ascii="宋体" w:eastAsia="宋体" w:hAnsi="宋体" w:cs="宋体" w:hint="eastAsia"/>
            <w:sz w:val="28"/>
            <w:szCs w:val="28"/>
          </w:rPr>
        </w:r>
        <w:r>
          <w:rPr>
            <w:rFonts w:ascii="宋体" w:eastAsia="宋体" w:hAnsi="宋体" w:cs="宋体" w:hint="eastAsia"/>
            <w:sz w:val="28"/>
            <w:szCs w:val="28"/>
          </w:rPr>
          <w:fldChar w:fldCharType="separate"/>
        </w:r>
        <w:r>
          <w:rPr>
            <w:rFonts w:ascii="宋体" w:eastAsia="宋体" w:hAnsi="宋体" w:cs="宋体" w:hint="eastAsia"/>
            <w:sz w:val="28"/>
            <w:szCs w:val="28"/>
          </w:rPr>
          <w:t>4</w:t>
        </w:r>
        <w:r>
          <w:rPr>
            <w:rFonts w:ascii="宋体" w:eastAsia="宋体" w:hAnsi="宋体" w:cs="宋体" w:hint="eastAsia"/>
            <w:sz w:val="28"/>
            <w:szCs w:val="28"/>
          </w:rPr>
          <w:fldChar w:fldCharType="end"/>
        </w:r>
      </w:hyperlink>
    </w:p>
    <w:p w14:paraId="79ECEE5C" w14:textId="77777777" w:rsidR="005B3BDD" w:rsidRDefault="006F6014">
      <w:pPr>
        <w:widowControl/>
        <w:spacing w:line="48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fldChar w:fldCharType="end"/>
      </w:r>
    </w:p>
    <w:p w14:paraId="1181415A" w14:textId="77777777" w:rsidR="005B3BDD" w:rsidRDefault="006F6014">
      <w:pPr>
        <w:pStyle w:val="1"/>
        <w:spacing w:line="360" w:lineRule="auto"/>
        <w:rPr>
          <w:rFonts w:ascii="宋体" w:eastAsia="宋体" w:hAnsi="宋体"/>
          <w:color w:val="000000" w:themeColor="text1"/>
        </w:rPr>
      </w:pPr>
      <w:bookmarkStart w:id="0" w:name="_Toc510199275"/>
      <w:bookmarkStart w:id="1" w:name="_Toc509946598"/>
      <w:r>
        <w:rPr>
          <w:rFonts w:ascii="宋体" w:eastAsia="宋体" w:hAnsi="宋体" w:hint="eastAsia"/>
          <w:color w:val="000000" w:themeColor="text1"/>
        </w:rPr>
        <w:lastRenderedPageBreak/>
        <w:t>一</w:t>
      </w:r>
      <w:r>
        <w:rPr>
          <w:rFonts w:ascii="宋体" w:eastAsia="宋体" w:hAnsi="宋体" w:hint="eastAsia"/>
        </w:rPr>
        <w:t>、业务流程</w:t>
      </w:r>
      <w:bookmarkEnd w:id="0"/>
      <w:bookmarkEnd w:id="1"/>
    </w:p>
    <w:p w14:paraId="26B4CBF9" w14:textId="77777777" w:rsidR="005B3BDD" w:rsidRDefault="006F6014">
      <w:pPr>
        <w:spacing w:line="360" w:lineRule="auto"/>
        <w:jc w:val="center"/>
        <w:rPr>
          <w:rFonts w:ascii="宋体" w:eastAsia="宋体" w:hAnsi="宋体"/>
        </w:rPr>
      </w:pPr>
      <w:r>
        <w:t xml:space="preserve">                  </w:t>
      </w:r>
      <w:r>
        <w:object w:dxaOrig="5863" w:dyaOrig="12763" w14:anchorId="0D73DBD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3.25pt;height:638.25pt" o:ole="">
            <v:imagedata r:id="rId9" o:title=""/>
          </v:shape>
          <o:OLEObject Type="Embed" ProgID="Visio.Drawing.15" ShapeID="_x0000_i1025" DrawAspect="Content" ObjectID="_1710328653" r:id="rId10"/>
        </w:object>
      </w:r>
    </w:p>
    <w:p w14:paraId="0101E4BB" w14:textId="77777777" w:rsidR="005B3BDD" w:rsidRDefault="006F6014">
      <w:pPr>
        <w:pStyle w:val="1"/>
        <w:spacing w:line="360" w:lineRule="auto"/>
        <w:rPr>
          <w:rFonts w:ascii="宋体" w:eastAsia="宋体" w:hAnsi="宋体"/>
        </w:rPr>
      </w:pPr>
      <w:bookmarkStart w:id="2" w:name="_Toc509946599"/>
      <w:bookmarkStart w:id="3" w:name="_Toc510199276"/>
      <w:r>
        <w:rPr>
          <w:rFonts w:ascii="宋体" w:eastAsia="宋体" w:hAnsi="宋体" w:hint="eastAsia"/>
        </w:rPr>
        <w:lastRenderedPageBreak/>
        <w:t>二、操作指南</w:t>
      </w:r>
      <w:bookmarkEnd w:id="2"/>
      <w:bookmarkEnd w:id="3"/>
    </w:p>
    <w:p w14:paraId="40B0822C" w14:textId="77777777" w:rsidR="005B3BDD" w:rsidRDefault="006F6014">
      <w:pPr>
        <w:pStyle w:val="2"/>
        <w:spacing w:line="360" w:lineRule="auto"/>
        <w:rPr>
          <w:rFonts w:ascii="宋体" w:eastAsia="宋体" w:hAnsi="宋体"/>
        </w:rPr>
      </w:pPr>
      <w:bookmarkStart w:id="4" w:name="_Toc510199277"/>
      <w:bookmarkStart w:id="5" w:name="_Toc509946612"/>
      <w:r>
        <w:rPr>
          <w:rFonts w:ascii="宋体" w:eastAsia="宋体" w:hAnsi="宋体" w:hint="eastAsia"/>
        </w:rPr>
        <w:t>2</w:t>
      </w:r>
      <w:r>
        <w:rPr>
          <w:rFonts w:ascii="宋体" w:eastAsia="宋体" w:hAnsi="宋体"/>
        </w:rPr>
        <w:t>.1</w:t>
      </w:r>
      <w:r>
        <w:rPr>
          <w:rFonts w:ascii="宋体" w:eastAsia="宋体" w:hAnsi="宋体" w:hint="eastAsia"/>
        </w:rPr>
        <w:t>分会工作站操作指南</w:t>
      </w:r>
      <w:bookmarkEnd w:id="4"/>
      <w:bookmarkEnd w:id="5"/>
    </w:p>
    <w:p w14:paraId="4E7E9A37" w14:textId="77777777" w:rsidR="005B3BDD" w:rsidRDefault="006F6014">
      <w:pPr>
        <w:pStyle w:val="3"/>
        <w:spacing w:line="360" w:lineRule="auto"/>
        <w:rPr>
          <w:rFonts w:ascii="宋体" w:eastAsia="宋体" w:hAnsi="宋体"/>
        </w:rPr>
      </w:pPr>
      <w:bookmarkStart w:id="6" w:name="_Toc510199278"/>
      <w:bookmarkStart w:id="7" w:name="_Toc509946613"/>
      <w:r>
        <w:rPr>
          <w:rFonts w:ascii="宋体" w:eastAsia="宋体" w:hAnsi="宋体" w:hint="eastAsia"/>
        </w:rPr>
        <w:t>2</w:t>
      </w:r>
      <w:r>
        <w:rPr>
          <w:rFonts w:ascii="宋体" w:eastAsia="宋体" w:hAnsi="宋体"/>
        </w:rPr>
        <w:t xml:space="preserve">.1.1 </w:t>
      </w:r>
      <w:r>
        <w:rPr>
          <w:rFonts w:ascii="宋体" w:eastAsia="宋体" w:hAnsi="宋体" w:hint="eastAsia"/>
        </w:rPr>
        <w:t>登录</w:t>
      </w:r>
      <w:bookmarkEnd w:id="6"/>
      <w:bookmarkEnd w:id="7"/>
      <w:r>
        <w:rPr>
          <w:rFonts w:ascii="宋体" w:eastAsia="宋体" w:hAnsi="宋体" w:hint="eastAsia"/>
        </w:rPr>
        <w:t>成都市律师综合管理信息系统</w:t>
      </w:r>
    </w:p>
    <w:p w14:paraId="69EF192D" w14:textId="77777777" w:rsidR="005B3BDD" w:rsidRDefault="006F6014">
      <w:pPr>
        <w:pStyle w:val="aa"/>
        <w:ind w:firstLineChars="200" w:firstLine="480"/>
        <w:jc w:val="left"/>
        <w:rPr>
          <w:rFonts w:ascii="宋体" w:hAnsi="宋体"/>
        </w:rPr>
      </w:pPr>
      <w:r>
        <w:rPr>
          <w:rFonts w:ascii="宋体" w:hAnsi="宋体" w:hint="eastAsia"/>
        </w:rPr>
        <w:t>分会工作站用户打开</w:t>
      </w:r>
      <w:r>
        <w:rPr>
          <w:rFonts w:ascii="宋体" w:hAnsi="宋体"/>
        </w:rPr>
        <w:t>360</w:t>
      </w:r>
      <w:r>
        <w:rPr>
          <w:rFonts w:ascii="宋体" w:hAnsi="宋体" w:hint="eastAsia"/>
        </w:rPr>
        <w:t>极速浏览器，输入成都市律师综合管理信息系统网址</w:t>
      </w:r>
      <w:r>
        <w:rPr>
          <w:rFonts w:ascii="微软雅黑" w:eastAsia="微软雅黑" w:hAnsi="微软雅黑" w:hint="eastAsia"/>
          <w:b/>
          <w:color w:val="2F5496" w:themeColor="accent1" w:themeShade="BF"/>
        </w:rPr>
        <w:t>（</w:t>
      </w:r>
      <w:r>
        <w:rPr>
          <w:rFonts w:ascii="微软雅黑" w:eastAsia="微软雅黑" w:hAnsi="微软雅黑"/>
          <w:b/>
          <w:color w:val="2F5496" w:themeColor="accent1" w:themeShade="BF"/>
        </w:rPr>
        <w:t>http://cd.oa.acla.org.cn/login.jsp</w:t>
      </w:r>
      <w:r>
        <w:rPr>
          <w:rFonts w:ascii="微软雅黑" w:eastAsia="微软雅黑" w:hAnsi="微软雅黑" w:hint="eastAsia"/>
          <w:b/>
          <w:color w:val="2F5496" w:themeColor="accent1" w:themeShade="BF"/>
        </w:rPr>
        <w:t>）</w:t>
      </w:r>
      <w:r>
        <w:rPr>
          <w:rFonts w:ascii="宋体" w:hAnsi="宋体" w:hint="eastAsia"/>
        </w:rPr>
        <w:t>，分会工作站用户登录账号</w:t>
      </w:r>
      <w:r>
        <w:rPr>
          <w:rFonts w:ascii="宋体" w:hAnsi="宋体"/>
        </w:rPr>
        <w:t>为</w:t>
      </w:r>
      <w:r>
        <w:rPr>
          <w:rFonts w:ascii="宋体" w:hAnsi="宋体" w:hint="eastAsia"/>
        </w:rPr>
        <w:t>分会工作站名称，</w:t>
      </w:r>
      <w:r>
        <w:rPr>
          <w:rFonts w:ascii="宋体" w:hAnsi="宋体" w:hint="eastAsia"/>
          <w:color w:val="FF0000"/>
        </w:rPr>
        <w:t>名称如下（锦江分会、青羊分会、武侯分会、金牛分会、成华分会、高新分会、天府新区分会、龙泉驿分会、温江分会、青白江工作站、新都分会、双流分会、郫都工作站、都江堰工作站、崇州工作站、大邑工作站、蒲江工作站、邛崃工作站、彭州工作站、新津工作站、金堂工作站、简阳工作站）</w:t>
      </w:r>
    </w:p>
    <w:p w14:paraId="14A5D474" w14:textId="77777777" w:rsidR="005B3BDD" w:rsidRDefault="006F6014">
      <w:pPr>
        <w:pStyle w:val="aa"/>
        <w:ind w:firstLineChars="200" w:firstLine="480"/>
        <w:jc w:val="left"/>
        <w:rPr>
          <w:rFonts w:ascii="宋体" w:hAnsi="宋体"/>
        </w:rPr>
      </w:pPr>
      <w:r>
        <w:rPr>
          <w:rFonts w:ascii="宋体" w:hAnsi="宋体" w:hint="eastAsia"/>
        </w:rPr>
        <w:t>初始密码：请联系协会获得初始密码。如遗忘密码，请联系市</w:t>
      </w:r>
      <w:r>
        <w:rPr>
          <w:rFonts w:ascii="宋体" w:hAnsi="宋体"/>
        </w:rPr>
        <w:t>律协</w:t>
      </w:r>
      <w:r>
        <w:rPr>
          <w:rFonts w:ascii="宋体" w:hAnsi="宋体" w:hint="eastAsia"/>
        </w:rPr>
        <w:t>查询密码或致电上海同道信息技术有限公司（</w:t>
      </w:r>
      <w:r>
        <w:rPr>
          <w:rFonts w:ascii="宋体" w:hAnsi="宋体"/>
        </w:rPr>
        <w:t>400-920-0247</w:t>
      </w:r>
      <w:r>
        <w:rPr>
          <w:rFonts w:ascii="宋体" w:hAnsi="宋体" w:hint="eastAsia"/>
        </w:rPr>
        <w:t>）重置密码。</w:t>
      </w:r>
    </w:p>
    <w:p w14:paraId="38D41858" w14:textId="77777777" w:rsidR="005B3BDD" w:rsidRDefault="006F6014">
      <w:pPr>
        <w:pStyle w:val="3"/>
        <w:spacing w:line="360" w:lineRule="auto"/>
        <w:rPr>
          <w:rFonts w:ascii="宋体" w:eastAsia="宋体" w:hAnsi="宋体"/>
        </w:rPr>
      </w:pPr>
      <w:bookmarkStart w:id="8" w:name="_Toc509946614"/>
      <w:bookmarkStart w:id="9" w:name="_Toc510199279"/>
      <w:r>
        <w:rPr>
          <w:rFonts w:ascii="宋体" w:eastAsia="宋体" w:hAnsi="宋体" w:hint="eastAsia"/>
        </w:rPr>
        <w:t>2</w:t>
      </w:r>
      <w:r>
        <w:rPr>
          <w:rFonts w:ascii="宋体" w:eastAsia="宋体" w:hAnsi="宋体"/>
        </w:rPr>
        <w:t>.1.2</w:t>
      </w:r>
      <w:r>
        <w:rPr>
          <w:rFonts w:ascii="宋体" w:eastAsia="宋体" w:hAnsi="宋体" w:hint="eastAsia"/>
        </w:rPr>
        <w:t>分会工作站受理律所、律师</w:t>
      </w:r>
      <w:bookmarkEnd w:id="8"/>
      <w:bookmarkEnd w:id="9"/>
    </w:p>
    <w:p w14:paraId="3BB6B645" w14:textId="38B747E9" w:rsidR="005B3BDD" w:rsidRDefault="006F6014">
      <w:pPr>
        <w:pStyle w:val="aa"/>
        <w:ind w:firstLineChars="200" w:firstLine="480"/>
        <w:jc w:val="left"/>
        <w:rPr>
          <w:rFonts w:ascii="宋体" w:hAnsi="宋体"/>
        </w:rPr>
      </w:pPr>
      <w:r>
        <w:rPr>
          <w:rFonts w:ascii="宋体" w:hAnsi="宋体" w:hint="eastAsia"/>
        </w:rPr>
        <w:t>（</w:t>
      </w:r>
      <w:r>
        <w:rPr>
          <w:rFonts w:ascii="宋体" w:hAnsi="宋体" w:hint="eastAsia"/>
        </w:rPr>
        <w:t>1</w:t>
      </w:r>
      <w:r>
        <w:rPr>
          <w:rFonts w:ascii="宋体" w:hAnsi="宋体" w:hint="eastAsia"/>
        </w:rPr>
        <w:t>）</w:t>
      </w:r>
      <w:r>
        <w:rPr>
          <w:rFonts w:ascii="宋体" w:hAnsi="宋体" w:hint="eastAsia"/>
          <w:color w:val="FF0000"/>
        </w:rPr>
        <w:t>点击“</w:t>
      </w:r>
      <w:r>
        <w:rPr>
          <w:rFonts w:ascii="宋体" w:hAnsi="宋体" w:hint="eastAsia"/>
          <w:color w:val="FF0000"/>
        </w:rPr>
        <w:t>202</w:t>
      </w:r>
      <w:r w:rsidR="00C36233">
        <w:rPr>
          <w:rFonts w:ascii="宋体" w:hAnsi="宋体"/>
          <w:color w:val="FF0000"/>
        </w:rPr>
        <w:t>1</w:t>
      </w:r>
      <w:r>
        <w:rPr>
          <w:rFonts w:ascii="宋体" w:hAnsi="宋体" w:hint="eastAsia"/>
          <w:color w:val="FF0000"/>
        </w:rPr>
        <w:t>年度考核”菜单中</w:t>
      </w:r>
      <w:r>
        <w:rPr>
          <w:rFonts w:ascii="宋体" w:hAnsi="宋体" w:hint="eastAsia"/>
        </w:rPr>
        <w:t>，在“待受理律所”中可显示属于该分会工作站区域的律所已提交的考核表，在此处选中律所，进行“受理”或“驳回”的操作。也可查看律所提交的考核表，</w:t>
      </w:r>
      <w:r>
        <w:rPr>
          <w:rFonts w:ascii="宋体" w:hAnsi="宋体" w:hint="eastAsia"/>
          <w:color w:val="auto"/>
        </w:rPr>
        <w:t>以及该所中律师上传</w:t>
      </w:r>
      <w:r>
        <w:rPr>
          <w:rFonts w:ascii="宋体" w:hAnsi="宋体" w:hint="eastAsia"/>
        </w:rPr>
        <w:t>的“培训证明材料”如图所示。</w:t>
      </w:r>
      <w:r>
        <w:rPr>
          <w:rFonts w:ascii="宋体" w:hAnsi="宋体" w:hint="eastAsia"/>
        </w:rPr>
        <w:t xml:space="preserve"> </w:t>
      </w:r>
    </w:p>
    <w:p w14:paraId="6B7B47C9" w14:textId="77777777" w:rsidR="005B3BDD" w:rsidRDefault="006F6014">
      <w:pPr>
        <w:spacing w:line="360" w:lineRule="auto"/>
      </w:pPr>
      <w:r>
        <w:rPr>
          <w:noProof/>
        </w:rPr>
        <w:drawing>
          <wp:inline distT="0" distB="0" distL="114300" distR="114300" wp14:anchorId="30C5DC37" wp14:editId="319DEF4A">
            <wp:extent cx="5270500" cy="2244725"/>
            <wp:effectExtent l="0" t="0" r="6350" b="3175"/>
            <wp:docPr id="8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5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24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7DD83C" w14:textId="77777777" w:rsidR="005B3BDD" w:rsidRDefault="006F6014">
      <w:pPr>
        <w:pStyle w:val="aa"/>
        <w:ind w:firstLineChars="200" w:firstLine="480"/>
        <w:jc w:val="left"/>
        <w:rPr>
          <w:rFonts w:ascii="宋体" w:hAnsi="宋体"/>
        </w:rPr>
      </w:pPr>
      <w:r>
        <w:rPr>
          <w:rFonts w:ascii="宋体" w:hAnsi="宋体" w:hint="eastAsia"/>
        </w:rPr>
        <w:t>受理</w:t>
      </w:r>
      <w:r>
        <w:rPr>
          <w:rFonts w:ascii="宋体" w:hAnsi="宋体" w:hint="eastAsia"/>
        </w:rPr>
        <w:t>：</w:t>
      </w:r>
      <w:r>
        <w:rPr>
          <w:rFonts w:ascii="宋体" w:hAnsi="宋体" w:hint="eastAsia"/>
        </w:rPr>
        <w:t>要上传至少三张现场图片，如下图所示。</w:t>
      </w:r>
    </w:p>
    <w:p w14:paraId="3DDD7D7E" w14:textId="77777777" w:rsidR="005B3BDD" w:rsidRDefault="006F6014">
      <w:pPr>
        <w:spacing w:line="360" w:lineRule="auto"/>
        <w:jc w:val="center"/>
        <w:rPr>
          <w:rFonts w:ascii="宋体" w:eastAsia="宋体" w:hAnsi="宋体"/>
        </w:rPr>
      </w:pPr>
      <w:r>
        <w:rPr>
          <w:rFonts w:ascii="宋体" w:eastAsia="宋体" w:hAnsi="宋体" w:hint="eastAsia"/>
          <w:noProof/>
        </w:rPr>
        <w:lastRenderedPageBreak/>
        <w:drawing>
          <wp:inline distT="0" distB="0" distL="0" distR="0" wp14:anchorId="12F1C466" wp14:editId="600840B7">
            <wp:extent cx="4799330" cy="3649980"/>
            <wp:effectExtent l="9525" t="9525" r="10795" b="17145"/>
            <wp:docPr id="18" name="图片 18" descr="C:\Users\123\Desktop\Image 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C:\Users\123\Desktop\Image 7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389" t="23962" r="25425" b="25073"/>
                    <a:stretch>
                      <a:fillRect/>
                    </a:stretch>
                  </pic:blipFill>
                  <pic:spPr>
                    <a:xfrm>
                      <a:off x="0" y="0"/>
                      <a:ext cx="4799330" cy="364998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2"/>
                      </a:solidFill>
                    </a:ln>
                  </pic:spPr>
                </pic:pic>
              </a:graphicData>
            </a:graphic>
          </wp:inline>
        </w:drawing>
      </w:r>
    </w:p>
    <w:p w14:paraId="752422D0" w14:textId="77777777" w:rsidR="005B3BDD" w:rsidRDefault="006F6014">
      <w:pPr>
        <w:pStyle w:val="aa"/>
        <w:ind w:firstLineChars="200" w:firstLine="480"/>
        <w:jc w:val="left"/>
        <w:rPr>
          <w:rFonts w:ascii="宋体" w:hAnsi="宋体"/>
          <w:b/>
          <w:bCs/>
        </w:rPr>
      </w:pPr>
      <w:r>
        <w:rPr>
          <w:rFonts w:ascii="宋体" w:hAnsi="宋体" w:hint="eastAsia"/>
        </w:rPr>
        <w:t>若点击驳回，则在律师事务所首页控制台可以查看到被驳回的报表以及驳回原因。</w:t>
      </w:r>
    </w:p>
    <w:p w14:paraId="06586FD1" w14:textId="77777777" w:rsidR="005B3BDD" w:rsidRDefault="006F6014">
      <w:pPr>
        <w:pStyle w:val="aa"/>
        <w:ind w:firstLineChars="200" w:firstLine="480"/>
        <w:jc w:val="left"/>
        <w:rPr>
          <w:rFonts w:ascii="宋体" w:hAnsi="宋体"/>
        </w:rPr>
      </w:pPr>
      <w:r>
        <w:rPr>
          <w:rFonts w:ascii="宋体" w:hAnsi="宋体" w:hint="eastAsia"/>
        </w:rPr>
        <w:t>兼职证明查看：培训情况未完成并且上传证明材料的律师</w:t>
      </w:r>
      <w:r>
        <w:rPr>
          <w:rFonts w:ascii="宋体" w:hAnsi="宋体" w:hint="eastAsia"/>
        </w:rPr>
        <w:t>,</w:t>
      </w:r>
      <w:r>
        <w:rPr>
          <w:rFonts w:ascii="宋体" w:hAnsi="宋体" w:hint="eastAsia"/>
        </w:rPr>
        <w:t>可手动进行审核完成情况。</w:t>
      </w:r>
    </w:p>
    <w:p w14:paraId="09C647EC" w14:textId="77777777" w:rsidR="005B3BDD" w:rsidRDefault="006F6014">
      <w:pPr>
        <w:pStyle w:val="aa"/>
        <w:jc w:val="left"/>
        <w:rPr>
          <w:rFonts w:ascii="宋体" w:hAnsi="宋体"/>
        </w:rPr>
      </w:pPr>
      <w:r>
        <w:rPr>
          <w:noProof/>
        </w:rPr>
        <w:drawing>
          <wp:inline distT="0" distB="0" distL="114300" distR="114300" wp14:anchorId="37A78725" wp14:editId="30F8680A">
            <wp:extent cx="5271135" cy="1633855"/>
            <wp:effectExtent l="0" t="0" r="5715" b="4445"/>
            <wp:docPr id="10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7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163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C1D58B" w14:textId="77777777" w:rsidR="005B3BDD" w:rsidRDefault="006F6014">
      <w:pPr>
        <w:pStyle w:val="aa"/>
        <w:ind w:firstLineChars="200" w:firstLine="480"/>
        <w:jc w:val="left"/>
        <w:rPr>
          <w:rFonts w:ascii="宋体" w:hAnsi="宋体"/>
        </w:rPr>
      </w:pPr>
      <w:r>
        <w:rPr>
          <w:rFonts w:ascii="宋体" w:hAnsi="宋体" w:hint="eastAsia"/>
        </w:rPr>
        <w:t>投诉查处：查看惩罚信息详情。</w:t>
      </w:r>
    </w:p>
    <w:p w14:paraId="252A00CD" w14:textId="77777777" w:rsidR="005B3BDD" w:rsidRDefault="006F6014">
      <w:pPr>
        <w:pStyle w:val="aa"/>
        <w:jc w:val="left"/>
        <w:rPr>
          <w:rFonts w:ascii="宋体" w:hAnsi="宋体"/>
        </w:rPr>
      </w:pPr>
      <w:r>
        <w:rPr>
          <w:noProof/>
        </w:rPr>
        <w:drawing>
          <wp:inline distT="0" distB="0" distL="114300" distR="114300" wp14:anchorId="44BC1A0E" wp14:editId="7F405D6E">
            <wp:extent cx="5267325" cy="1325880"/>
            <wp:effectExtent l="9525" t="9525" r="19050" b="17145"/>
            <wp:docPr id="11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8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132588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2"/>
                      </a:solidFill>
                    </a:ln>
                  </pic:spPr>
                </pic:pic>
              </a:graphicData>
            </a:graphic>
          </wp:inline>
        </w:drawing>
      </w:r>
    </w:p>
    <w:p w14:paraId="576D8101" w14:textId="77777777" w:rsidR="005B3BDD" w:rsidRDefault="005B3BDD">
      <w:pPr>
        <w:spacing w:line="360" w:lineRule="auto"/>
        <w:rPr>
          <w:rFonts w:ascii="宋体" w:eastAsia="宋体" w:hAnsi="宋体"/>
        </w:rPr>
      </w:pPr>
    </w:p>
    <w:p w14:paraId="1EFAD69C" w14:textId="77777777" w:rsidR="005B3BDD" w:rsidRDefault="006F6014">
      <w:pPr>
        <w:pStyle w:val="aa"/>
        <w:ind w:firstLineChars="200" w:firstLine="480"/>
        <w:jc w:val="left"/>
        <w:rPr>
          <w:rFonts w:ascii="宋体" w:hAnsi="宋体"/>
        </w:rPr>
      </w:pPr>
      <w:r>
        <w:rPr>
          <w:rFonts w:ascii="宋体" w:hAnsi="宋体" w:hint="eastAsia"/>
        </w:rPr>
        <w:lastRenderedPageBreak/>
        <w:t>查看考核表：可直接查看律所年度考核登记表详情，并进行打印。</w:t>
      </w:r>
    </w:p>
    <w:p w14:paraId="1807F0F2" w14:textId="77777777" w:rsidR="005B3BDD" w:rsidRDefault="006F6014">
      <w:pPr>
        <w:spacing w:line="360" w:lineRule="auto"/>
        <w:jc w:val="left"/>
        <w:rPr>
          <w:rFonts w:ascii="宋体" w:eastAsia="宋体" w:hAnsi="宋体" w:cs="Arial"/>
          <w:color w:val="000000"/>
          <w:sz w:val="24"/>
          <w:szCs w:val="24"/>
        </w:rPr>
      </w:pPr>
      <w:r>
        <w:rPr>
          <w:noProof/>
        </w:rPr>
        <w:drawing>
          <wp:inline distT="0" distB="0" distL="114300" distR="114300" wp14:anchorId="634D36B3" wp14:editId="2438670B">
            <wp:extent cx="5267960" cy="3870960"/>
            <wp:effectExtent l="9525" t="9525" r="18415" b="24765"/>
            <wp:docPr id="9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6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387096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2"/>
                      </a:solidFill>
                    </a:ln>
                  </pic:spPr>
                </pic:pic>
              </a:graphicData>
            </a:graphic>
          </wp:inline>
        </w:drawing>
      </w:r>
    </w:p>
    <w:p w14:paraId="03B33854" w14:textId="77777777" w:rsidR="005B3BDD" w:rsidRDefault="006F6014">
      <w:pPr>
        <w:spacing w:line="360" w:lineRule="auto"/>
        <w:ind w:firstLineChars="200" w:firstLine="480"/>
        <w:jc w:val="left"/>
        <w:rPr>
          <w:rFonts w:ascii="宋体" w:hAnsi="宋体"/>
        </w:rPr>
      </w:pPr>
      <w:r>
        <w:rPr>
          <w:rFonts w:ascii="宋体" w:eastAsia="宋体" w:hAnsi="宋体" w:cs="Arial" w:hint="eastAsia"/>
          <w:color w:val="000000"/>
          <w:sz w:val="24"/>
          <w:szCs w:val="24"/>
        </w:rPr>
        <w:t>受理后的律所会</w:t>
      </w:r>
      <w:r>
        <w:rPr>
          <w:rFonts w:ascii="宋体" w:eastAsia="宋体" w:hAnsi="宋体" w:cs="Arial" w:hint="eastAsia"/>
          <w:color w:val="000000"/>
          <w:sz w:val="24"/>
          <w:szCs w:val="24"/>
        </w:rPr>
        <w:t>出现在“已受理律所”中，如下图所示。</w:t>
      </w:r>
      <w:r>
        <w:rPr>
          <w:noProof/>
        </w:rPr>
        <w:drawing>
          <wp:inline distT="0" distB="0" distL="114300" distR="114300" wp14:anchorId="22D5C7B2" wp14:editId="7E5AC210">
            <wp:extent cx="5271135" cy="2187575"/>
            <wp:effectExtent l="9525" t="9525" r="15240" b="12700"/>
            <wp:docPr id="7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4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1875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2"/>
                      </a:solidFill>
                    </a:ln>
                  </pic:spPr>
                </pic:pic>
              </a:graphicData>
            </a:graphic>
          </wp:inline>
        </w:drawing>
      </w:r>
    </w:p>
    <w:p w14:paraId="0D849BC7" w14:textId="77777777" w:rsidR="005B3BDD" w:rsidRDefault="006F6014">
      <w:pPr>
        <w:pStyle w:val="aa"/>
        <w:numPr>
          <w:ilvl w:val="0"/>
          <w:numId w:val="1"/>
        </w:numPr>
        <w:ind w:firstLineChars="200" w:firstLine="480"/>
        <w:jc w:val="left"/>
        <w:rPr>
          <w:rFonts w:ascii="宋体" w:hAnsi="宋体"/>
        </w:rPr>
      </w:pPr>
      <w:r>
        <w:rPr>
          <w:rFonts w:ascii="宋体" w:hAnsi="宋体" w:hint="eastAsia"/>
        </w:rPr>
        <w:t>在此两栏中会显示“待受理律师”与“已受理律师”，律所被受理后，所内律师也会被受理。</w:t>
      </w:r>
      <w:r>
        <w:rPr>
          <w:rFonts w:ascii="宋体" w:hAnsi="宋体" w:hint="eastAsia"/>
        </w:rPr>
        <w:t>也可以在“待受理律师”下单独对律师进行受理，填写意见后点击“受理”，如下图：</w:t>
      </w:r>
    </w:p>
    <w:p w14:paraId="3358C9AE" w14:textId="77777777" w:rsidR="005B3BDD" w:rsidRDefault="006F6014">
      <w:pPr>
        <w:pStyle w:val="aa"/>
        <w:jc w:val="center"/>
      </w:pPr>
      <w:r>
        <w:rPr>
          <w:noProof/>
        </w:rPr>
        <w:lastRenderedPageBreak/>
        <w:drawing>
          <wp:inline distT="0" distB="0" distL="114300" distR="114300" wp14:anchorId="7AD3EE2C" wp14:editId="2F6512AF">
            <wp:extent cx="4705350" cy="3162300"/>
            <wp:effectExtent l="9525" t="9525" r="9525" b="9525"/>
            <wp:docPr id="12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9"/>
                    <pic:cNvPicPr>
                      <a:picLocks noChangeAspect="1"/>
                    </pic:cNvPicPr>
                  </pic:nvPicPr>
                  <pic:blipFill>
                    <a:blip r:embed="rId17"/>
                    <a:srcRect r="1789"/>
                    <a:stretch>
                      <a:fillRect/>
                    </a:stretch>
                  </pic:blipFill>
                  <pic:spPr>
                    <a:xfrm>
                      <a:off x="0" y="0"/>
                      <a:ext cx="4705350" cy="31623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2"/>
                      </a:solidFill>
                    </a:ln>
                  </pic:spPr>
                </pic:pic>
              </a:graphicData>
            </a:graphic>
          </wp:inline>
        </w:drawing>
      </w:r>
    </w:p>
    <w:p w14:paraId="703DEE60" w14:textId="77777777" w:rsidR="005B3BDD" w:rsidRDefault="006F6014">
      <w:pPr>
        <w:pStyle w:val="aa"/>
        <w:jc w:val="left"/>
      </w:pPr>
      <w:r>
        <w:rPr>
          <w:rFonts w:ascii="宋体" w:hAnsi="宋体" w:hint="eastAsia"/>
        </w:rPr>
        <w:t>受理后的律所会出现在“已受理</w:t>
      </w:r>
      <w:r>
        <w:rPr>
          <w:rFonts w:ascii="宋体" w:hAnsi="宋体" w:hint="eastAsia"/>
        </w:rPr>
        <w:t>律师</w:t>
      </w:r>
      <w:r>
        <w:rPr>
          <w:rFonts w:ascii="宋体" w:hAnsi="宋体" w:hint="eastAsia"/>
        </w:rPr>
        <w:t>”中，如下图所示。</w:t>
      </w:r>
      <w:r>
        <w:rPr>
          <w:noProof/>
        </w:rPr>
        <w:drawing>
          <wp:inline distT="0" distB="0" distL="114300" distR="114300" wp14:anchorId="538A916D" wp14:editId="05F9D1E0">
            <wp:extent cx="5270500" cy="2477770"/>
            <wp:effectExtent l="9525" t="9525" r="15875" b="27305"/>
            <wp:docPr id="13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0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47777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2"/>
                      </a:solidFill>
                    </a:ln>
                  </pic:spPr>
                </pic:pic>
              </a:graphicData>
            </a:graphic>
          </wp:inline>
        </w:drawing>
      </w:r>
    </w:p>
    <w:p w14:paraId="12EED4BC" w14:textId="77777777" w:rsidR="005B3BDD" w:rsidRDefault="006F6014">
      <w:pPr>
        <w:pStyle w:val="3"/>
        <w:spacing w:line="360" w:lineRule="auto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2</w:t>
      </w:r>
      <w:r>
        <w:rPr>
          <w:rFonts w:ascii="宋体" w:eastAsia="宋体" w:hAnsi="宋体"/>
        </w:rPr>
        <w:t>.1.</w:t>
      </w:r>
      <w:r>
        <w:rPr>
          <w:rFonts w:ascii="宋体" w:eastAsia="宋体" w:hAnsi="宋体" w:hint="eastAsia"/>
        </w:rPr>
        <w:t>3</w:t>
      </w:r>
      <w:r>
        <w:rPr>
          <w:rFonts w:ascii="宋体" w:eastAsia="宋体" w:hAnsi="宋体" w:hint="eastAsia"/>
        </w:rPr>
        <w:t>查询打印</w:t>
      </w:r>
    </w:p>
    <w:p w14:paraId="6F63ED83" w14:textId="77777777" w:rsidR="005B3BDD" w:rsidRDefault="006F6014">
      <w:r>
        <w:rPr>
          <w:noProof/>
        </w:rPr>
        <w:drawing>
          <wp:inline distT="0" distB="0" distL="114300" distR="114300" wp14:anchorId="5BF53898" wp14:editId="6988FE3A">
            <wp:extent cx="5267960" cy="2494915"/>
            <wp:effectExtent l="0" t="0" r="5080" b="4445"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249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9BA3C9" w14:textId="77777777" w:rsidR="005B3BDD" w:rsidRDefault="005B3BDD">
      <w:pPr>
        <w:pStyle w:val="aa"/>
        <w:jc w:val="left"/>
      </w:pPr>
    </w:p>
    <w:p w14:paraId="58E7571F" w14:textId="77777777" w:rsidR="005B3BDD" w:rsidRDefault="005B3BDD">
      <w:pPr>
        <w:pStyle w:val="aa"/>
        <w:ind w:firstLineChars="200" w:firstLine="480"/>
        <w:jc w:val="left"/>
        <w:rPr>
          <w:rFonts w:ascii="宋体" w:hAnsi="宋体"/>
        </w:rPr>
      </w:pPr>
    </w:p>
    <w:p w14:paraId="3E0618D4" w14:textId="77777777" w:rsidR="005B3BDD" w:rsidRDefault="005B3BDD"/>
    <w:sectPr w:rsidR="005B3BDD">
      <w:headerReference w:type="default" r:id="rId20"/>
      <w:footerReference w:type="default" r:id="rId2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8301E" w14:textId="77777777" w:rsidR="006F6014" w:rsidRDefault="006F6014">
      <w:r>
        <w:separator/>
      </w:r>
    </w:p>
  </w:endnote>
  <w:endnote w:type="continuationSeparator" w:id="0">
    <w:p w14:paraId="59746E12" w14:textId="77777777" w:rsidR="006F6014" w:rsidRDefault="006F6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1555087"/>
    </w:sdtPr>
    <w:sdtEndPr/>
    <w:sdtContent>
      <w:p w14:paraId="09582A6A" w14:textId="77777777" w:rsidR="005B3BDD" w:rsidRDefault="006F601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165FD810" w14:textId="77777777" w:rsidR="005B3BDD" w:rsidRDefault="005B3BD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F1C81" w14:textId="77777777" w:rsidR="006F6014" w:rsidRDefault="006F6014">
      <w:r>
        <w:separator/>
      </w:r>
    </w:p>
  </w:footnote>
  <w:footnote w:type="continuationSeparator" w:id="0">
    <w:p w14:paraId="08E744F9" w14:textId="77777777" w:rsidR="006F6014" w:rsidRDefault="006F60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3F5CF" w14:textId="77777777" w:rsidR="005B3BDD" w:rsidRDefault="006F6014">
    <w:pPr>
      <w:pStyle w:val="a7"/>
      <w:pBdr>
        <w:bottom w:val="single" w:sz="4" w:space="1" w:color="auto"/>
      </w:pBdr>
    </w:pPr>
    <w:r>
      <w:rPr>
        <w:rFonts w:hint="eastAsia"/>
      </w:rPr>
      <w:t>上海同道技术有限公司</w:t>
    </w:r>
    <w:r>
      <w:rPr>
        <w:rFonts w:hint="eastAsia"/>
      </w:rPr>
      <w:t xml:space="preserve">                                                           400-052-9602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96D12A"/>
    <w:multiLevelType w:val="singleLevel"/>
    <w:tmpl w:val="6896D12A"/>
    <w:lvl w:ilvl="0">
      <w:start w:val="2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0D67"/>
    <w:rsid w:val="000B6929"/>
    <w:rsid w:val="000E6408"/>
    <w:rsid w:val="00120445"/>
    <w:rsid w:val="0019439A"/>
    <w:rsid w:val="001B138C"/>
    <w:rsid w:val="00231EC3"/>
    <w:rsid w:val="00233905"/>
    <w:rsid w:val="002714E7"/>
    <w:rsid w:val="003732FC"/>
    <w:rsid w:val="003A3D9C"/>
    <w:rsid w:val="003C5013"/>
    <w:rsid w:val="00492C38"/>
    <w:rsid w:val="004C09E1"/>
    <w:rsid w:val="00595C44"/>
    <w:rsid w:val="005B3BDD"/>
    <w:rsid w:val="005F2AF0"/>
    <w:rsid w:val="006A71A4"/>
    <w:rsid w:val="006F6014"/>
    <w:rsid w:val="007827A0"/>
    <w:rsid w:val="007A7B3D"/>
    <w:rsid w:val="007F0D67"/>
    <w:rsid w:val="008236CE"/>
    <w:rsid w:val="00851F84"/>
    <w:rsid w:val="0093631C"/>
    <w:rsid w:val="009D1A73"/>
    <w:rsid w:val="009F04B8"/>
    <w:rsid w:val="00A852EC"/>
    <w:rsid w:val="00AB2069"/>
    <w:rsid w:val="00B22D5E"/>
    <w:rsid w:val="00B45CD2"/>
    <w:rsid w:val="00C36233"/>
    <w:rsid w:val="00CA06CD"/>
    <w:rsid w:val="00CF2BDD"/>
    <w:rsid w:val="00D252F8"/>
    <w:rsid w:val="00DA0A3D"/>
    <w:rsid w:val="00DD3DC6"/>
    <w:rsid w:val="00DD43C3"/>
    <w:rsid w:val="00DF0656"/>
    <w:rsid w:val="00E51E72"/>
    <w:rsid w:val="00E549D7"/>
    <w:rsid w:val="00EC195D"/>
    <w:rsid w:val="00EE0ADB"/>
    <w:rsid w:val="00F73623"/>
    <w:rsid w:val="00F93344"/>
    <w:rsid w:val="12C44912"/>
    <w:rsid w:val="15307AB6"/>
    <w:rsid w:val="297D7452"/>
    <w:rsid w:val="4DCC63D5"/>
    <w:rsid w:val="5D362D8B"/>
    <w:rsid w:val="6A0E1A6F"/>
    <w:rsid w:val="70862D6E"/>
    <w:rsid w:val="72D8635A"/>
    <w:rsid w:val="7BE53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E658EC4"/>
  <w15:docId w15:val="{85445472-891F-42B7-9EDB-8A492A26C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TOC3">
    <w:name w:val="toc 3"/>
    <w:basedOn w:val="a"/>
    <w:next w:val="a"/>
    <w:uiPriority w:val="39"/>
    <w:unhideWhenUsed/>
    <w:qFormat/>
    <w:pPr>
      <w:ind w:leftChars="400" w:left="840"/>
    </w:pPr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TOC1">
    <w:name w:val="toc 1"/>
    <w:basedOn w:val="a"/>
    <w:next w:val="a"/>
    <w:uiPriority w:val="39"/>
    <w:unhideWhenUsed/>
    <w:qFormat/>
  </w:style>
  <w:style w:type="paragraph" w:styleId="TOC2">
    <w:name w:val="toc 2"/>
    <w:basedOn w:val="a"/>
    <w:next w:val="a"/>
    <w:uiPriority w:val="39"/>
    <w:unhideWhenUsed/>
    <w:qFormat/>
    <w:pPr>
      <w:ind w:leftChars="200" w:left="420"/>
    </w:pPr>
  </w:style>
  <w:style w:type="character" w:styleId="a9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semiHidden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qFormat/>
    <w:rPr>
      <w:b/>
      <w:bCs/>
      <w:sz w:val="32"/>
      <w:szCs w:val="32"/>
    </w:rPr>
  </w:style>
  <w:style w:type="paragraph" w:customStyle="1" w:styleId="aa">
    <w:name w:val="四级正文"/>
    <w:basedOn w:val="a"/>
    <w:link w:val="Char"/>
    <w:qFormat/>
    <w:pPr>
      <w:spacing w:line="360" w:lineRule="auto"/>
    </w:pPr>
    <w:rPr>
      <w:rFonts w:ascii="Arial" w:eastAsia="宋体" w:hAnsi="Arial" w:cs="Arial"/>
      <w:color w:val="000000"/>
      <w:sz w:val="24"/>
      <w:szCs w:val="24"/>
    </w:rPr>
  </w:style>
  <w:style w:type="character" w:customStyle="1" w:styleId="Char">
    <w:name w:val="四级正文 Char"/>
    <w:link w:val="aa"/>
    <w:qFormat/>
    <w:rPr>
      <w:rFonts w:ascii="Arial" w:eastAsia="宋体" w:hAnsi="Arial" w:cs="Arial"/>
      <w:color w:val="000000"/>
      <w:sz w:val="24"/>
      <w:szCs w:val="2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numbering" Target="numbering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image" Target="media/image10.png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498BE652-04FD-4913-A86A-A53F8619191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186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冉 翔</cp:lastModifiedBy>
  <cp:revision>19</cp:revision>
  <dcterms:created xsi:type="dcterms:W3CDTF">2018-03-30T07:14:00Z</dcterms:created>
  <dcterms:modified xsi:type="dcterms:W3CDTF">2022-04-01T06:31:00Z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