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173990</wp:posOffset>
            </wp:positionV>
            <wp:extent cx="5579745" cy="1783080"/>
            <wp:effectExtent l="0" t="0" r="8255" b="20320"/>
            <wp:wrapNone/>
            <wp:docPr id="1026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17830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jc w:val="center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川律协〔202</w:t>
      </w:r>
      <w:r>
        <w:rPr>
          <w:rFonts w:hint="default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580" w:lineRule="exact"/>
        <w:rPr>
          <w:rFonts w:ascii="华文中宋" w:hAnsi="华文中宋" w:eastAsia="华文中宋"/>
          <w:sz w:val="24"/>
          <w:szCs w:val="36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关于报名参加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青年律师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领军人才训练营的通知</w:t>
      </w:r>
    </w:p>
    <w:p>
      <w:pPr>
        <w:pStyle w:val="2"/>
        <w:spacing w:line="540" w:lineRule="exact"/>
        <w:rPr>
          <w:rFonts w:hint="eastAsia" w:ascii="方正小标宋简体" w:hAnsi="方正小标宋简体" w:eastAsia="方正小标宋简体" w:cs="方正小标宋简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黑体" w:eastAsia="仿宋_GB2312"/>
          <w:spacing w:val="-6"/>
          <w:sz w:val="32"/>
          <w:szCs w:val="32"/>
        </w:rPr>
        <w:t>各市</w:t>
      </w:r>
      <w:r>
        <w:rPr>
          <w:rFonts w:hint="eastAsia" w:ascii="仿宋_GB2312" w:hAnsi="黑体" w:eastAsia="仿宋_GB2312"/>
          <w:spacing w:val="-6"/>
          <w:sz w:val="32"/>
          <w:szCs w:val="32"/>
          <w:lang w:eastAsia="zh-CN"/>
        </w:rPr>
        <w:t>（</w:t>
      </w:r>
      <w:r>
        <w:rPr>
          <w:rFonts w:hint="eastAsia" w:ascii="仿宋_GB2312" w:hAnsi="黑体" w:eastAsia="仿宋_GB2312"/>
          <w:spacing w:val="-6"/>
          <w:sz w:val="32"/>
          <w:szCs w:val="32"/>
        </w:rPr>
        <w:t>州</w:t>
      </w:r>
      <w:r>
        <w:rPr>
          <w:rFonts w:hint="eastAsia" w:ascii="仿宋_GB2312" w:hAnsi="黑体" w:eastAsia="仿宋_GB2312"/>
          <w:spacing w:val="-6"/>
          <w:sz w:val="32"/>
          <w:szCs w:val="32"/>
          <w:lang w:eastAsia="zh-CN"/>
        </w:rPr>
        <w:t>）</w:t>
      </w:r>
      <w:r>
        <w:rPr>
          <w:rFonts w:hint="eastAsia" w:ascii="仿宋_GB2312" w:hAnsi="黑体" w:eastAsia="仿宋_GB2312"/>
          <w:spacing w:val="-6"/>
          <w:sz w:val="32"/>
          <w:szCs w:val="32"/>
        </w:rPr>
        <w:t>律师协会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为建设一支与四川经济社会发展相适应的青年律师队伍，进一步提高我省青年律师的政治素养，增强使命感，培养有担当、有作为、高素质的青年律师领军人才，保障法治四川建设、服务我省经济社会发展，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省律协将举办第三期四川省青年律师领军人才训练营</w:t>
      </w:r>
      <w:r>
        <w:rPr>
          <w:rFonts w:hint="eastAsia" w:ascii="仿宋_GB2312" w:hAnsi="仿宋_GB2312" w:eastAsia="仿宋_GB2312" w:cs="仿宋_GB2312"/>
          <w:sz w:val="32"/>
          <w:szCs w:val="32"/>
        </w:rPr>
        <w:t>（以下简称“青训营”）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现将青训营报名工作相关事宜通知如下：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一、参训对象条件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坚持正确的政治方向，坚决拥护中国共产党的领导、拥护社会主义法治，年龄在40周岁以下（原则上198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日后出生），并具备以下条件的专职律师: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恪守律师职业道德和执业纪律，有良好的社会声誉；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具有较强的责任感，认真履行行业管理工作职责，愿意对律师行业发展作出贡献；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勇于承担社会责任，积极参与公益法律服务活动；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拥有8年以上独立执业经验并具备下列条件之一（具有专业特长、特殊奖励或者特别优秀的可适当放宽执业年限）: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在省、市律师协会担任理事或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者</w:t>
      </w:r>
      <w:r>
        <w:rPr>
          <w:rFonts w:hint="eastAsia" w:ascii="仿宋_GB2312" w:hAnsi="仿宋_GB2312" w:eastAsia="仿宋_GB2312" w:cs="仿宋_GB2312"/>
          <w:sz w:val="32"/>
          <w:szCs w:val="32"/>
        </w:rPr>
        <w:t>监事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及以上职务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担任省、市律师协会“两专委”委员且在律师事务所担任主任、副主任、合伙人或律所管理合伙人，愿意参与律师协会行业管理工作的律师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已参加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全国律协</w:t>
      </w:r>
      <w:r>
        <w:rPr>
          <w:rFonts w:hint="eastAsia" w:ascii="仿宋_GB2312" w:hAnsi="仿宋_GB2312" w:eastAsia="仿宋_GB2312" w:cs="仿宋_GB2312"/>
          <w:sz w:val="32"/>
          <w:szCs w:val="32"/>
        </w:rPr>
        <w:t>青年律师领军人才训练营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及第一期四川省青年律师领军人才训练营</w:t>
      </w:r>
      <w:r>
        <w:rPr>
          <w:rFonts w:hint="eastAsia" w:ascii="仿宋_GB2312" w:hAnsi="仿宋_GB2312" w:eastAsia="仿宋_GB2312" w:cs="仿宋_GB2312"/>
          <w:sz w:val="32"/>
          <w:szCs w:val="32"/>
        </w:rPr>
        <w:t>的律师将不作为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本次青训营</w:t>
      </w:r>
      <w:r>
        <w:rPr>
          <w:rFonts w:hint="eastAsia" w:ascii="仿宋_GB2312" w:hAnsi="仿宋_GB2312" w:eastAsia="仿宋_GB2312" w:cs="仿宋_GB2312"/>
          <w:sz w:val="32"/>
          <w:szCs w:val="32"/>
        </w:rPr>
        <w:t>候选人。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二、参训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人员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推荐及审核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bookmarkStart w:id="0" w:name="OLE_LINK1"/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州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律协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本地情况，按照推荐条件和分配名额向省律协推荐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省律协将对候选人资格进行复核，符合条件的人员将取得青训营培训资格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、相关费用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训练营统一安排食宿，相关学习费用及食宿费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</w:t>
      </w:r>
      <w:r>
        <w:rPr>
          <w:rFonts w:hint="eastAsia" w:ascii="仿宋_GB2312" w:hAnsi="仿宋_GB2312" w:eastAsia="仿宋_GB2312" w:cs="仿宋_GB2312"/>
          <w:sz w:val="32"/>
          <w:szCs w:val="32"/>
        </w:rPr>
        <w:t>由省律协承担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往返交通费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</w:t>
      </w:r>
      <w:r>
        <w:rPr>
          <w:rFonts w:hint="eastAsia" w:ascii="仿宋_GB2312" w:hAnsi="仿宋_GB2312" w:eastAsia="仿宋_GB2312" w:cs="仿宋_GB2312"/>
          <w:sz w:val="32"/>
          <w:szCs w:val="32"/>
        </w:rPr>
        <w:t>由学员自理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有条件的律所或市州律协可予以补贴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、注意事项及纪律要求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培训时间、地点将另行通知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报名时，请严格按照填表说明填写报名资料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参训学</w:t>
      </w:r>
      <w:r>
        <w:rPr>
          <w:rFonts w:hint="eastAsia" w:ascii="仿宋_GB2312" w:hAnsi="仿宋_GB2312" w:eastAsia="仿宋_GB2312" w:cs="仿宋_GB2312"/>
          <w:sz w:val="32"/>
          <w:szCs w:val="32"/>
        </w:rPr>
        <w:t>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需准时参训，不得缺席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参训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严格遵守考勤纪律。无故缺勤的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</w:t>
      </w:r>
      <w:r>
        <w:rPr>
          <w:rFonts w:hint="eastAsia" w:ascii="仿宋_GB2312" w:hAnsi="仿宋_GB2312" w:eastAsia="仿宋_GB2312" w:cs="仿宋_GB2312"/>
          <w:sz w:val="32"/>
          <w:szCs w:val="32"/>
        </w:rPr>
        <w:t>员及培训期间违反纪律的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</w:t>
      </w:r>
      <w:r>
        <w:rPr>
          <w:rFonts w:hint="eastAsia" w:ascii="仿宋_GB2312" w:hAnsi="仿宋_GB2312" w:eastAsia="仿宋_GB2312" w:cs="仿宋_GB2312"/>
          <w:sz w:val="32"/>
          <w:szCs w:val="32"/>
        </w:rPr>
        <w:t>员将影响自己及所在市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州律师协会今后参加省律协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活动的资格。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报送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材料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要求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请各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律协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default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前，以电子方式报送材料（邮件注明“XX律协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第三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期青训营候选人推荐材料”），包括：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期四川省</w:t>
      </w:r>
      <w:r>
        <w:rPr>
          <w:rFonts w:hint="eastAsia" w:ascii="仿宋_GB2312" w:hAnsi="仿宋_GB2312" w:eastAsia="仿宋_GB2312" w:cs="仿宋_GB2312"/>
          <w:sz w:val="32"/>
          <w:szCs w:val="32"/>
        </w:rPr>
        <w:t>青年律师领军人才训练营报名表》（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可编辑版和PDF版</w:t>
      </w:r>
      <w:r>
        <w:rPr>
          <w:rFonts w:hint="eastAsia" w:ascii="仿宋_GB2312" w:hAnsi="仿宋_GB2312" w:eastAsia="仿宋_GB2312" w:cs="仿宋_GB2312"/>
          <w:sz w:val="32"/>
          <w:szCs w:val="32"/>
        </w:rPr>
        <w:t>）；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期</w:t>
      </w:r>
      <w:r>
        <w:rPr>
          <w:rFonts w:hint="eastAsia" w:ascii="仿宋_GB2312" w:hAnsi="仿宋_GB2312" w:eastAsia="仿宋_GB2312" w:cs="仿宋_GB2312"/>
          <w:sz w:val="32"/>
          <w:szCs w:val="32"/>
        </w:rPr>
        <w:t>四川省青年律师领军人才训练营个人信息登记表》（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可编辑版和PDF版</w:t>
      </w:r>
      <w:r>
        <w:rPr>
          <w:rFonts w:hint="eastAsia" w:ascii="仿宋_GB2312" w:hAnsi="仿宋_GB2312" w:eastAsia="仿宋_GB2312" w:cs="仿宋_GB2312"/>
          <w:sz w:val="32"/>
          <w:szCs w:val="32"/>
        </w:rPr>
        <w:t>）；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事务所出具的任职证明，包括现任职务及任职时间（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</w:rPr>
        <w:t>加盖事务所公章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扫描为PDF版</w:t>
      </w:r>
      <w:r>
        <w:rPr>
          <w:rFonts w:hint="eastAsia" w:ascii="仿宋_GB2312" w:hAnsi="仿宋_GB2312" w:eastAsia="仿宋_GB2312" w:cs="仿宋_GB2312"/>
          <w:sz w:val="32"/>
          <w:szCs w:val="32"/>
        </w:rPr>
        <w:t>）；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推荐学员的无行政处罚证明、无行业处分证明、近五年年度考核称职的证明，中共党员律师的无党纪处分证明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均需PDF版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期四川省</w:t>
      </w:r>
      <w:r>
        <w:rPr>
          <w:rFonts w:hint="eastAsia" w:ascii="仿宋_GB2312" w:hAnsi="仿宋_GB2312" w:eastAsia="仿宋_GB2312" w:cs="仿宋_GB2312"/>
          <w:sz w:val="32"/>
          <w:szCs w:val="32"/>
        </w:rPr>
        <w:t>青年律师领军人才训练营报名表</w:t>
      </w:r>
    </w:p>
    <w:p>
      <w:pPr>
        <w:widowControl w:val="0"/>
        <w:numPr>
          <w:ilvl w:val="0"/>
          <w:numId w:val="0"/>
        </w:numPr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四川省青年律师领军人才训练营个人信息登记表</w:t>
      </w:r>
    </w:p>
    <w:p>
      <w:pPr>
        <w:widowControl w:val="0"/>
        <w:numPr>
          <w:ilvl w:val="0"/>
          <w:numId w:val="0"/>
        </w:numPr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期</w:t>
      </w:r>
      <w:r>
        <w:rPr>
          <w:rFonts w:hint="eastAsia" w:ascii="仿宋_GB2312" w:hAnsi="仿宋_GB2312" w:eastAsia="仿宋_GB2312" w:cs="仿宋_GB2312"/>
          <w:sz w:val="32"/>
          <w:szCs w:val="32"/>
        </w:rPr>
        <w:t>四川省青年律师领军人才培训名额分配表</w:t>
      </w:r>
    </w:p>
    <w:p>
      <w:pPr>
        <w:spacing w:line="580" w:lineRule="exact"/>
        <w:ind w:firstLine="3520" w:firstLineChars="1100"/>
        <w:jc w:val="right"/>
        <w:rPr>
          <w:rFonts w:hint="eastAsia" w:ascii="仿宋_GB2312" w:hAnsi="黑体" w:eastAsia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580" w:lineRule="exact"/>
        <w:ind w:firstLine="3520" w:firstLineChars="1100"/>
        <w:jc w:val="right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580" w:lineRule="exact"/>
        <w:ind w:firstLine="3520" w:firstLineChars="1100"/>
        <w:jc w:val="right"/>
        <w:rPr>
          <w:rFonts w:hint="eastAsia" w:ascii="仿宋_GB2312" w:hAnsi="黑体" w:eastAsia="仿宋_GB2312"/>
          <w:sz w:val="32"/>
          <w:szCs w:val="32"/>
        </w:rPr>
      </w:pPr>
    </w:p>
    <w:p>
      <w:pPr>
        <w:wordWrap w:val="0"/>
        <w:spacing w:line="580" w:lineRule="exact"/>
        <w:ind w:firstLine="3520" w:firstLineChars="1100"/>
        <w:jc w:val="right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四川省律师协会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</w:t>
      </w:r>
    </w:p>
    <w:p>
      <w:pPr>
        <w:pStyle w:val="2"/>
        <w:spacing w:line="58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202</w:t>
      </w:r>
      <w:r>
        <w:rPr>
          <w:rFonts w:hint="default" w:ascii="仿宋_GB2312" w:hAnsi="黑体" w:eastAsia="仿宋_GB2312"/>
          <w:sz w:val="32"/>
          <w:szCs w:val="32"/>
        </w:rPr>
        <w:t>3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hint="default" w:ascii="仿宋_GB2312" w:hAnsi="黑体" w:eastAsia="仿宋_GB2312"/>
          <w:sz w:val="32"/>
          <w:szCs w:val="32"/>
        </w:rPr>
        <w:t>3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24日</w:t>
      </w:r>
    </w:p>
    <w:p>
      <w:pPr>
        <w:pStyle w:val="2"/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6"/>
        <w:tblpPr w:leftFromText="181" w:rightFromText="181" w:tblpXSpec="center" w:tblpYSpec="bottom"/>
        <w:tblOverlap w:val="never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jc w:val="center"/>
        </w:trPr>
        <w:tc>
          <w:tcPr>
            <w:tcW w:w="8948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ind w:firstLine="280" w:firstLineChars="1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 xml:space="preserve">发：省律协青工委                                      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8" w:type="dxa"/>
            <w:tcBorders>
              <w:tl2br w:val="nil"/>
              <w:tr2bl w:val="nil"/>
            </w:tcBorders>
          </w:tcPr>
          <w:p>
            <w:pPr>
              <w:pStyle w:val="2"/>
              <w:ind w:firstLine="280" w:firstLineChars="1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 xml:space="preserve">四川省律师协会秘书处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2023年3月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日印发</w:t>
            </w:r>
          </w:p>
        </w:tc>
      </w:tr>
    </w:tbl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587" w:bottom="1587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docGrid w:type="lines" w:linePitch="444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widowControl w:val="0"/>
        <w:adjustRightInd/>
        <w:snapToGrid/>
        <w:spacing w:after="0" w:line="60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第三期四川省青年律师领军人才训练营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名额分配表</w:t>
      </w:r>
    </w:p>
    <w:tbl>
      <w:tblPr>
        <w:tblStyle w:val="5"/>
        <w:tblpPr w:leftFromText="180" w:rightFromText="180" w:vertAnchor="text" w:horzAnchor="page" w:tblpX="3227" w:tblpY="402"/>
        <w:tblOverlap w:val="never"/>
        <w:tblW w:w="52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3"/>
        <w:gridCol w:w="24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地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名额（人）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成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都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自  贡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攀枝花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泸  州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德  阳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绵  阳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广  元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遂  宁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内  江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乐  山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南  充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宜  宾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广  安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达  州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巴  中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雅  安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眉  山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资  阳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阿  坝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甘  孜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凉  山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省律协青工委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小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计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</w:tr>
    </w:tbl>
    <w:p>
      <w:pPr>
        <w:widowControl w:val="0"/>
        <w:tabs>
          <w:tab w:val="left" w:pos="1440"/>
        </w:tabs>
        <w:spacing w:after="0" w:line="460" w:lineRule="exact"/>
        <w:jc w:val="both"/>
        <w:rPr>
          <w:rFonts w:hint="eastAsia" w:ascii="仿宋_GB2312" w:eastAsia="仿宋_GB2312" w:cs="仿宋_GB2312"/>
          <w:sz w:val="32"/>
          <w:szCs w:val="32"/>
          <w:lang w:val="en-US" w:eastAsia="zh-CN" w:bidi="ar"/>
        </w:rPr>
      </w:pPr>
    </w:p>
    <w:p/>
    <w:sectPr>
      <w:pgSz w:w="11906" w:h="16838"/>
      <w:pgMar w:top="1757" w:right="1587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l1uVLQAAAABQEAAA8AAAAAAAAAAQAgAAAAIgAAAGRycy9kb3ducmV2&#10;LnhtbFBLAQIUABQAAAAIAIdO4kAQpMREywEAAJIDAAAOAAAAAAAAAAEAIAAAAB8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kM2QyMzcyNmRiYzAwZTM5ZjQ3M2UyYTk3NDFmM2IifQ=="/>
  </w:docVars>
  <w:rsids>
    <w:rsidRoot w:val="6AFF1303"/>
    <w:rsid w:val="02551B85"/>
    <w:rsid w:val="132A0CBC"/>
    <w:rsid w:val="50C84A80"/>
    <w:rsid w:val="59952CA4"/>
    <w:rsid w:val="5B44728B"/>
    <w:rsid w:val="65F97BA1"/>
    <w:rsid w:val="6AF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2021</Words>
  <Characters>2109</Characters>
  <Lines>0</Lines>
  <Paragraphs>0</Paragraphs>
  <TotalTime>13</TotalTime>
  <ScaleCrop>false</ScaleCrop>
  <LinksUpToDate>false</LinksUpToDate>
  <CharactersWithSpaces>2308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2023-03-07T12:19:00Z</dcterms:created>
  <dc:creator>明炬修订</dc:creator>
  <cp:lastModifiedBy>背影</cp:lastModifiedBy>
  <dcterms:modified xsi:type="dcterms:W3CDTF">2023-03-27T08:37:21Z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F14CA12688DF44FB85D3716A5C7C4EDD</vt:lpwstr>
  </property>
</Properties>
</file>