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新宋体" w:hAnsi="新宋体" w:eastAsia="新宋体" w:cs="新宋体"/>
          <w:sz w:val="44"/>
          <w:szCs w:val="44"/>
        </w:rPr>
      </w:pPr>
    </w:p>
    <w:p>
      <w:pPr>
        <w:jc w:val="center"/>
        <w:rPr>
          <w:rFonts w:ascii="新宋体" w:hAnsi="新宋体" w:eastAsia="新宋体" w:cs="新宋体"/>
          <w:sz w:val="44"/>
          <w:szCs w:val="44"/>
        </w:rPr>
      </w:pPr>
    </w:p>
    <w:p>
      <w:pPr>
        <w:jc w:val="center"/>
        <w:rPr>
          <w:rFonts w:ascii="新宋体" w:hAnsi="新宋体" w:eastAsia="新宋体" w:cs="新宋体"/>
          <w:sz w:val="44"/>
          <w:szCs w:val="44"/>
        </w:rPr>
      </w:pPr>
    </w:p>
    <w:p>
      <w:pPr>
        <w:jc w:val="center"/>
        <w:rPr>
          <w:rFonts w:ascii="新宋体" w:hAnsi="新宋体" w:eastAsia="新宋体" w:cs="新宋体"/>
          <w:sz w:val="44"/>
          <w:szCs w:val="44"/>
        </w:rPr>
      </w:pPr>
    </w:p>
    <w:p>
      <w:pPr>
        <w:jc w:val="center"/>
        <w:rPr>
          <w:rFonts w:ascii="新宋体" w:hAnsi="新宋体" w:eastAsia="新宋体" w:cs="新宋体"/>
          <w:b/>
          <w:bCs/>
          <w:sz w:val="44"/>
          <w:szCs w:val="44"/>
        </w:rPr>
      </w:pPr>
      <w:r>
        <w:rPr>
          <w:rFonts w:hint="eastAsia" w:ascii="新宋体" w:hAnsi="新宋体" w:eastAsia="新宋体" w:cs="新宋体"/>
          <w:b/>
          <w:bCs/>
          <w:sz w:val="44"/>
          <w:szCs w:val="44"/>
        </w:rPr>
        <w:t>四川省律师专业水平评定</w:t>
      </w:r>
    </w:p>
    <w:p>
      <w:pPr>
        <w:jc w:val="center"/>
        <w:rPr>
          <w:rFonts w:ascii="新宋体" w:hAnsi="新宋体" w:eastAsia="新宋体" w:cs="新宋体"/>
          <w:b/>
          <w:bCs/>
          <w:sz w:val="44"/>
          <w:szCs w:val="44"/>
        </w:rPr>
      </w:pPr>
      <w:r>
        <w:rPr>
          <w:rFonts w:hint="eastAsia" w:ascii="新宋体" w:hAnsi="新宋体" w:eastAsia="新宋体" w:cs="新宋体"/>
          <w:b/>
          <w:bCs/>
          <w:sz w:val="44"/>
          <w:szCs w:val="44"/>
        </w:rPr>
        <w:t>系统操作指引</w:t>
      </w:r>
    </w:p>
    <w:p>
      <w:pPr>
        <w:jc w:val="center"/>
        <w:rPr>
          <w:rFonts w:ascii="新宋体" w:hAnsi="新宋体" w:eastAsia="新宋体" w:cs="新宋体"/>
          <w:sz w:val="44"/>
          <w:szCs w:val="44"/>
        </w:rPr>
      </w:pPr>
    </w:p>
    <w:p>
      <w:pPr>
        <w:jc w:val="center"/>
        <w:rPr>
          <w:rFonts w:ascii="新宋体" w:hAnsi="新宋体" w:eastAsia="新宋体" w:cs="新宋体"/>
          <w:sz w:val="44"/>
          <w:szCs w:val="44"/>
        </w:rPr>
      </w:pPr>
    </w:p>
    <w:p>
      <w:pPr>
        <w:jc w:val="center"/>
        <w:rPr>
          <w:rFonts w:ascii="新宋体" w:hAnsi="新宋体" w:eastAsia="新宋体" w:cs="新宋体"/>
          <w:sz w:val="44"/>
          <w:szCs w:val="44"/>
        </w:rPr>
      </w:pPr>
    </w:p>
    <w:p>
      <w:pPr>
        <w:jc w:val="center"/>
        <w:rPr>
          <w:rFonts w:ascii="新宋体" w:hAnsi="新宋体" w:eastAsia="新宋体" w:cs="新宋体"/>
          <w:sz w:val="44"/>
          <w:szCs w:val="44"/>
        </w:rPr>
      </w:pPr>
    </w:p>
    <w:p>
      <w:pPr>
        <w:jc w:val="center"/>
        <w:rPr>
          <w:rFonts w:ascii="新宋体" w:hAnsi="新宋体" w:eastAsia="新宋体" w:cs="新宋体"/>
          <w:sz w:val="44"/>
          <w:szCs w:val="44"/>
        </w:rPr>
      </w:pPr>
    </w:p>
    <w:p>
      <w:pPr>
        <w:jc w:val="center"/>
        <w:rPr>
          <w:rFonts w:ascii="新宋体" w:hAnsi="新宋体" w:eastAsia="新宋体" w:cs="新宋体"/>
          <w:sz w:val="44"/>
          <w:szCs w:val="44"/>
        </w:rPr>
      </w:pPr>
    </w:p>
    <w:p>
      <w:pPr>
        <w:jc w:val="center"/>
        <w:rPr>
          <w:rFonts w:ascii="新宋体" w:hAnsi="新宋体" w:eastAsia="新宋体" w:cs="新宋体"/>
          <w:sz w:val="36"/>
          <w:szCs w:val="36"/>
        </w:rPr>
      </w:pPr>
      <w:r>
        <w:rPr>
          <w:rFonts w:hint="eastAsia" w:ascii="新宋体" w:hAnsi="新宋体" w:eastAsia="新宋体" w:cs="新宋体"/>
          <w:sz w:val="36"/>
          <w:szCs w:val="36"/>
        </w:rPr>
        <w:t>20</w:t>
      </w:r>
      <w:r>
        <w:rPr>
          <w:rFonts w:hint="eastAsia" w:ascii="新宋体" w:hAnsi="新宋体" w:eastAsia="新宋体" w:cs="新宋体"/>
          <w:sz w:val="36"/>
          <w:szCs w:val="36"/>
          <w:lang w:val="en-US" w:eastAsia="zh-CN"/>
        </w:rPr>
        <w:t>23</w:t>
      </w:r>
      <w:r>
        <w:rPr>
          <w:rFonts w:hint="eastAsia" w:ascii="新宋体" w:hAnsi="新宋体" w:eastAsia="新宋体" w:cs="新宋体"/>
          <w:sz w:val="36"/>
          <w:szCs w:val="36"/>
        </w:rPr>
        <w:t>年10月</w:t>
      </w:r>
    </w:p>
    <w:p>
      <w:pPr>
        <w:jc w:val="center"/>
        <w:rPr>
          <w:rFonts w:ascii="新宋体" w:hAnsi="新宋体" w:eastAsia="新宋体" w:cs="新宋体"/>
          <w:sz w:val="36"/>
          <w:szCs w:val="36"/>
        </w:rPr>
      </w:pPr>
    </w:p>
    <w:p>
      <w:pPr>
        <w:rPr>
          <w:rFonts w:ascii="新宋体" w:hAnsi="新宋体" w:eastAsia="新宋体" w:cs="新宋体"/>
          <w:sz w:val="22"/>
          <w:szCs w:val="22"/>
        </w:rPr>
      </w:pPr>
    </w:p>
    <w:p>
      <w:pPr>
        <w:rPr>
          <w:rFonts w:ascii="新宋体" w:hAnsi="新宋体" w:eastAsia="新宋体" w:cs="新宋体"/>
          <w:sz w:val="22"/>
          <w:szCs w:val="22"/>
        </w:rPr>
      </w:pPr>
    </w:p>
    <w:sdt>
      <w:sdtPr>
        <w:rPr>
          <w:rFonts w:ascii="宋体" w:hAnsi="宋体" w:eastAsia="宋体"/>
        </w:rPr>
        <w:id w:val="147467761"/>
        <w:docPartObj>
          <w:docPartGallery w:val="Table of Contents"/>
          <w:docPartUnique/>
        </w:docPartObj>
      </w:sdtPr>
      <w:sdtEndPr>
        <w:rPr>
          <w:rFonts w:ascii="宋体" w:hAnsi="宋体" w:eastAsia="宋体"/>
        </w:rPr>
      </w:sdtEndPr>
      <w:sdtContent>
        <w:p/>
      </w:sdtContent>
    </w:sdt>
    <w:p>
      <w:pPr>
        <w:pStyle w:val="2"/>
        <w:pageBreakBefore/>
        <w:jc w:val="center"/>
        <w:rPr>
          <w:rFonts w:ascii="新宋体" w:hAnsi="新宋体" w:eastAsia="新宋体" w:cs="新宋体"/>
        </w:rPr>
      </w:pPr>
      <w:bookmarkStart w:id="0" w:name="_Toc23331591"/>
      <w:r>
        <w:rPr>
          <w:rFonts w:hint="eastAsia" w:ascii="新宋体" w:hAnsi="新宋体" w:eastAsia="新宋体" w:cs="新宋体"/>
          <w:sz w:val="40"/>
          <w:szCs w:val="22"/>
        </w:rPr>
        <w:t>律师专业水平评定操作指引</w:t>
      </w:r>
      <w:r>
        <w:rPr>
          <w:rFonts w:hint="eastAsia" w:ascii="新宋体" w:hAnsi="新宋体" w:eastAsia="新宋体" w:cs="新宋体"/>
        </w:rPr>
        <w:t>【律师版】</w:t>
      </w:r>
      <w:bookmarkEnd w:id="0"/>
    </w:p>
    <w:p>
      <w:pPr>
        <w:pStyle w:val="3"/>
        <w:numPr>
          <w:ilvl w:val="0"/>
          <w:numId w:val="1"/>
        </w:numPr>
        <w:spacing w:line="240" w:lineRule="auto"/>
        <w:rPr>
          <w:rFonts w:ascii="新宋体" w:hAnsi="新宋体" w:eastAsia="新宋体" w:cs="新宋体"/>
          <w:sz w:val="28"/>
          <w:szCs w:val="22"/>
        </w:rPr>
      </w:pPr>
      <w:bookmarkStart w:id="1" w:name="_Toc23331592"/>
      <w:r>
        <w:rPr>
          <w:rFonts w:hint="eastAsia" w:ascii="新宋体" w:hAnsi="新宋体" w:eastAsia="新宋体" w:cs="新宋体"/>
          <w:sz w:val="28"/>
          <w:szCs w:val="22"/>
        </w:rPr>
        <w:t>登录四川省律师综合管理信息系统（推荐使用谷歌浏览器或360浏览器）</w:t>
      </w:r>
      <w:bookmarkEnd w:id="1"/>
    </w:p>
    <w:p>
      <w:pPr>
        <w:rPr>
          <w:rFonts w:ascii="新宋体" w:hAnsi="新宋体" w:eastAsia="新宋体" w:cs="新宋体"/>
          <w:sz w:val="24"/>
          <w:szCs w:val="21"/>
        </w:rPr>
      </w:pPr>
      <w:r>
        <w:rPr>
          <w:rFonts w:hint="eastAsia" w:ascii="新宋体" w:hAnsi="新宋体" w:eastAsia="新宋体" w:cs="新宋体"/>
          <w:sz w:val="24"/>
          <w:szCs w:val="21"/>
        </w:rPr>
        <w:t>（1）地址：</w:t>
      </w:r>
      <w:r>
        <w:fldChar w:fldCharType="begin"/>
      </w:r>
      <w:r>
        <w:instrText xml:space="preserve"> HYPERLINK "http://sc.oa.acla.org.cn/" </w:instrText>
      </w:r>
      <w:r>
        <w:fldChar w:fldCharType="separate"/>
      </w:r>
      <w:r>
        <w:rPr>
          <w:rStyle w:val="11"/>
          <w:rFonts w:hint="eastAsia" w:ascii="新宋体" w:hAnsi="新宋体" w:eastAsia="新宋体" w:cs="新宋体"/>
          <w:sz w:val="24"/>
          <w:szCs w:val="21"/>
        </w:rPr>
        <w:t>http://sc.oa.acla.org.cn/</w:t>
      </w:r>
      <w:r>
        <w:rPr>
          <w:rStyle w:val="11"/>
          <w:rFonts w:hint="eastAsia" w:ascii="新宋体" w:hAnsi="新宋体" w:eastAsia="新宋体" w:cs="新宋体"/>
          <w:sz w:val="24"/>
          <w:szCs w:val="21"/>
        </w:rPr>
        <w:fldChar w:fldCharType="end"/>
      </w:r>
    </w:p>
    <w:p>
      <w:pPr>
        <w:rPr>
          <w:rFonts w:hint="eastAsia" w:ascii="新宋体" w:hAnsi="新宋体" w:eastAsia="新宋体" w:cs="新宋体"/>
          <w:sz w:val="24"/>
          <w:szCs w:val="21"/>
          <w:lang w:eastAsia="zh-CN"/>
        </w:rPr>
      </w:pPr>
      <w:r>
        <w:rPr>
          <w:rFonts w:hint="eastAsia" w:ascii="新宋体" w:hAnsi="新宋体" w:eastAsia="新宋体" w:cs="新宋体"/>
          <w:sz w:val="24"/>
          <w:szCs w:val="21"/>
        </w:rPr>
        <w:t>账号：律师执业证号，初始密码：SiChuan2022@#lx</w:t>
      </w:r>
      <w:r>
        <w:rPr>
          <w:rFonts w:hint="eastAsia" w:ascii="新宋体" w:hAnsi="新宋体" w:eastAsia="新宋体" w:cs="新宋体"/>
          <w:sz w:val="24"/>
          <w:szCs w:val="21"/>
          <w:lang w:eastAsia="zh-CN"/>
        </w:rPr>
        <w:t>（</w:t>
      </w:r>
      <w:r>
        <w:rPr>
          <w:rFonts w:hint="eastAsia" w:ascii="新宋体" w:hAnsi="新宋体" w:eastAsia="新宋体" w:cs="新宋体"/>
          <w:sz w:val="24"/>
          <w:szCs w:val="21"/>
          <w:lang w:val="en-US" w:eastAsia="zh-CN"/>
        </w:rPr>
        <w:t>无法登录请使用身份核验登录或联系律协重置密码</w:t>
      </w:r>
      <w:r>
        <w:rPr>
          <w:rFonts w:hint="eastAsia" w:ascii="新宋体" w:hAnsi="新宋体" w:eastAsia="新宋体" w:cs="新宋体"/>
          <w:sz w:val="24"/>
          <w:szCs w:val="21"/>
          <w:lang w:eastAsia="zh-CN"/>
        </w:rPr>
        <w:t>）</w:t>
      </w:r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drawing>
          <wp:inline distT="0" distB="0" distL="114300" distR="114300">
            <wp:extent cx="5266055" cy="3600450"/>
            <wp:effectExtent l="0" t="0" r="69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新宋体" w:hAnsi="新宋体" w:eastAsia="新宋体" w:cs="新宋体"/>
          <w:sz w:val="24"/>
        </w:rPr>
      </w:pPr>
      <w:r>
        <w:rPr>
          <w:rFonts w:hint="eastAsia" w:ascii="新宋体" w:hAnsi="新宋体" w:eastAsia="新宋体" w:cs="新宋体"/>
          <w:sz w:val="24"/>
        </w:rPr>
        <w:t>（2）四川省律师协会官方网站：www.scslsxh.com</w:t>
      </w:r>
    </w:p>
    <w:p>
      <w:pPr>
        <w:pStyle w:val="3"/>
        <w:numPr>
          <w:ilvl w:val="0"/>
          <w:numId w:val="1"/>
        </w:numPr>
        <w:spacing w:line="240" w:lineRule="auto"/>
        <w:rPr>
          <w:rFonts w:ascii="新宋体" w:hAnsi="新宋体" w:eastAsia="新宋体" w:cs="新宋体"/>
          <w:sz w:val="28"/>
          <w:szCs w:val="22"/>
        </w:rPr>
      </w:pPr>
      <w:bookmarkStart w:id="2" w:name="_Toc23331593"/>
      <w:r>
        <w:rPr>
          <w:rFonts w:hint="eastAsia" w:ascii="新宋体" w:hAnsi="新宋体" w:eastAsia="新宋体" w:cs="新宋体"/>
          <w:sz w:val="28"/>
          <w:szCs w:val="22"/>
        </w:rPr>
        <w:t>进入点击“专业评定申请”，进入申请页面</w:t>
      </w:r>
      <w:bookmarkEnd w:id="2"/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drawing>
          <wp:inline distT="0" distB="0" distL="114300" distR="114300">
            <wp:extent cx="5266690" cy="3482340"/>
            <wp:effectExtent l="0" t="0" r="635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240" w:lineRule="auto"/>
        <w:rPr>
          <w:rFonts w:ascii="新宋体" w:hAnsi="新宋体" w:eastAsia="新宋体" w:cs="新宋体"/>
          <w:sz w:val="28"/>
          <w:szCs w:val="22"/>
        </w:rPr>
      </w:pPr>
      <w:bookmarkStart w:id="3" w:name="_Toc23331594"/>
      <w:r>
        <w:rPr>
          <w:rFonts w:hint="eastAsia" w:ascii="新宋体" w:hAnsi="新宋体" w:eastAsia="新宋体" w:cs="新宋体"/>
          <w:sz w:val="28"/>
          <w:szCs w:val="22"/>
        </w:rPr>
        <w:t>选择专业</w:t>
      </w:r>
      <w:bookmarkEnd w:id="3"/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选择要申报的专业，可查看积分标准</w:t>
      </w:r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drawing>
          <wp:inline distT="0" distB="0" distL="114300" distR="114300">
            <wp:extent cx="5270500" cy="278193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240" w:lineRule="auto"/>
        <w:rPr>
          <w:rFonts w:ascii="新宋体" w:hAnsi="新宋体" w:eastAsia="新宋体" w:cs="新宋体"/>
          <w:sz w:val="28"/>
          <w:szCs w:val="22"/>
        </w:rPr>
      </w:pPr>
      <w:bookmarkStart w:id="4" w:name="_Toc23331595"/>
      <w:r>
        <w:rPr>
          <w:rFonts w:hint="eastAsia" w:ascii="新宋体" w:hAnsi="新宋体" w:eastAsia="新宋体" w:cs="新宋体"/>
          <w:sz w:val="28"/>
          <w:szCs w:val="22"/>
        </w:rPr>
        <w:t>确认信息，上传相关要求附件</w:t>
      </w:r>
      <w:bookmarkEnd w:id="4"/>
    </w:p>
    <w:p>
      <w:pPr>
        <w:numPr>
          <w:ilvl w:val="0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注意执业年限要求（曾经从事审判、检察、立法等法律业务的工作的，可对应计入年限）</w:t>
      </w:r>
    </w:p>
    <w:p>
      <w:pPr>
        <w:numPr>
          <w:ilvl w:val="1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法学博士，至少在申请专业领域连续执业3年</w:t>
      </w:r>
    </w:p>
    <w:p>
      <w:pPr>
        <w:numPr>
          <w:ilvl w:val="1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法学硕士，至少在申请专业领域连续执业5年</w:t>
      </w:r>
    </w:p>
    <w:p>
      <w:pPr>
        <w:numPr>
          <w:ilvl w:val="1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法学学士，至少在申请专业领域连续执业7年</w:t>
      </w:r>
    </w:p>
    <w:p>
      <w:pPr>
        <w:numPr>
          <w:ilvl w:val="1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其它，至少在申请专业领域连续执业10年</w:t>
      </w:r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b/>
          <w:bCs/>
          <w:color w:val="FF0000"/>
          <w:sz w:val="22"/>
          <w:szCs w:val="22"/>
        </w:rPr>
        <w:t>注意：如果学历有误，可以通过在“信息变更”中修改教育经历进行修改，系统以最高教育经历的学历、学位以及是否法学专业为准。</w:t>
      </w:r>
    </w:p>
    <w:p>
      <w:pPr>
        <w:numPr>
          <w:ilvl w:val="0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从事申请专业领域连续执业的案件证明</w:t>
      </w:r>
    </w:p>
    <w:p>
      <w:pPr>
        <w:numPr>
          <w:ilvl w:val="1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法学博士，要求提供至少3年从事申请专业领域的案件证明（每年至少一个）</w:t>
      </w:r>
    </w:p>
    <w:p>
      <w:pPr>
        <w:numPr>
          <w:ilvl w:val="1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法学硕士，要求提供至少5年从事申请专业领域的案件证明（每年至少一个）</w:t>
      </w:r>
    </w:p>
    <w:p>
      <w:pPr>
        <w:numPr>
          <w:ilvl w:val="1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法学学士，要求提供至少执业7年从事申请专业领域的案件证明（每年至少一个）</w:t>
      </w:r>
    </w:p>
    <w:p>
      <w:pPr>
        <w:numPr>
          <w:ilvl w:val="1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其它，要求提供至少执业10年从事申请专业领域的案件证明（每年至少一个）</w:t>
      </w:r>
    </w:p>
    <w:p>
      <w:pPr>
        <w:numPr>
          <w:ilvl w:val="0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要求参评前5年内没有因执业行为受到行政处罚、行业惩戒</w:t>
      </w:r>
    </w:p>
    <w:p>
      <w:pPr>
        <w:numPr>
          <w:ilvl w:val="0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要求上传学位证明，执业年限大于10年，可不上传学位证明</w:t>
      </w:r>
    </w:p>
    <w:p>
      <w:pPr>
        <w:numPr>
          <w:ilvl w:val="0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无党纪处分证明：政治面貌为党员的律师必须上传</w:t>
      </w:r>
    </w:p>
    <w:p>
      <w:pPr>
        <w:numPr>
          <w:ilvl w:val="0"/>
          <w:numId w:val="2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承诺书附件：所有申请人员点击下载承诺书模板，打印签字后上传附件</w:t>
      </w:r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drawing>
          <wp:inline distT="0" distB="0" distL="114300" distR="114300">
            <wp:extent cx="5268595" cy="7853680"/>
            <wp:effectExtent l="0" t="0" r="444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240" w:lineRule="auto"/>
        <w:rPr>
          <w:rFonts w:ascii="新宋体" w:hAnsi="新宋体" w:eastAsia="新宋体" w:cs="新宋体"/>
          <w:sz w:val="28"/>
          <w:szCs w:val="22"/>
        </w:rPr>
      </w:pPr>
      <w:bookmarkStart w:id="5" w:name="_Toc23331596"/>
      <w:r>
        <w:rPr>
          <w:rFonts w:hint="eastAsia" w:ascii="新宋体" w:hAnsi="新宋体" w:eastAsia="新宋体" w:cs="新宋体"/>
          <w:sz w:val="28"/>
          <w:szCs w:val="22"/>
        </w:rPr>
        <w:t>上传参评材料</w:t>
      </w:r>
      <w:bookmarkEnd w:id="5"/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每个专业里，有对应的案件评分、综合能力评分，根据所属类型创建相应类型的加分，每个专业存在区别，如图：</w:t>
      </w:r>
    </w:p>
    <w:p>
      <w:pPr>
        <w:rPr>
          <w:rFonts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drawing>
          <wp:inline distT="0" distB="0" distL="114300" distR="114300">
            <wp:extent cx="5272405" cy="7595870"/>
            <wp:effectExtent l="0" t="0" r="63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针对每个类型的计分规则，添加计分信息，如图：</w:t>
      </w:r>
    </w:p>
    <w:p>
      <w:pPr>
        <w:jc w:val="center"/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</w:rPr>
        <w:drawing>
          <wp:inline distT="0" distB="0" distL="114300" distR="114300">
            <wp:extent cx="3078480" cy="28873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240" w:lineRule="auto"/>
        <w:rPr>
          <w:rFonts w:ascii="新宋体" w:hAnsi="新宋体" w:eastAsia="新宋体" w:cs="新宋体"/>
          <w:sz w:val="28"/>
          <w:szCs w:val="22"/>
        </w:rPr>
      </w:pPr>
      <w:bookmarkStart w:id="6" w:name="_Toc23331597"/>
      <w:r>
        <w:rPr>
          <w:rFonts w:hint="eastAsia" w:ascii="新宋体" w:hAnsi="新宋体" w:eastAsia="新宋体" w:cs="新宋体"/>
          <w:sz w:val="28"/>
          <w:szCs w:val="22"/>
        </w:rPr>
        <w:t>提交申请</w:t>
      </w:r>
      <w:bookmarkEnd w:id="6"/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提交申请条件满足后，可以提交申请，具体条件为：</w:t>
      </w:r>
    </w:p>
    <w:p>
      <w:pPr>
        <w:numPr>
          <w:ilvl w:val="0"/>
          <w:numId w:val="3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自评分满100分</w:t>
      </w:r>
    </w:p>
    <w:p>
      <w:pPr>
        <w:numPr>
          <w:ilvl w:val="0"/>
          <w:numId w:val="3"/>
        </w:num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连续3年每年至少有1个案件</w:t>
      </w:r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</w:rPr>
        <w:drawing>
          <wp:inline distT="0" distB="0" distL="114300" distR="114300">
            <wp:extent cx="5268595" cy="5810250"/>
            <wp:effectExtent l="0" t="0" r="444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</w:rPr>
        <w:drawing>
          <wp:inline distT="0" distB="0" distL="114300" distR="114300">
            <wp:extent cx="5271770" cy="1864995"/>
            <wp:effectExtent l="0" t="0" r="127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提交后，如需修改，可以点击“撤回申请”后进行修改。</w:t>
      </w:r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  <w:sz w:val="22"/>
          <w:szCs w:val="22"/>
        </w:rPr>
        <w:t>提交后，可以打印《律师专业水平评定表》</w:t>
      </w:r>
    </w:p>
    <w:p>
      <w:pPr>
        <w:rPr>
          <w:rFonts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drawing>
          <wp:inline distT="0" distB="0" distL="114300" distR="114300">
            <wp:extent cx="5274310" cy="5588635"/>
            <wp:effectExtent l="0" t="0" r="1397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240" w:lineRule="auto"/>
        <w:rPr>
          <w:rFonts w:ascii="新宋体" w:hAnsi="新宋体" w:eastAsia="新宋体" w:cs="新宋体"/>
          <w:sz w:val="28"/>
          <w:szCs w:val="22"/>
        </w:rPr>
      </w:pPr>
      <w:bookmarkStart w:id="7" w:name="_Toc23331598"/>
      <w:r>
        <w:rPr>
          <w:rFonts w:hint="eastAsia" w:ascii="新宋体" w:hAnsi="新宋体" w:eastAsia="新宋体" w:cs="新宋体"/>
          <w:sz w:val="28"/>
          <w:szCs w:val="22"/>
        </w:rPr>
        <w:t>查看“审核意见”</w:t>
      </w:r>
      <w:bookmarkEnd w:id="7"/>
    </w:p>
    <w:p>
      <w:pPr>
        <w:rPr>
          <w:rFonts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律师登录系统，可以查看律所审核意见、市律协评审委员会初审意见、省律协评审委员会终审意见。</w:t>
      </w:r>
    </w:p>
    <w:p>
      <w:pPr>
        <w:rPr>
          <w:rFonts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若是被律师事务所、市律协评审委员会、市律协驳回，可以再次提交。</w:t>
      </w:r>
    </w:p>
    <w:p>
      <w:pPr>
        <w:rPr>
          <w:rFonts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若是被省律协评审委员会驳回，状态显示为“驳回”，此状态下只能申请复核。</w:t>
      </w:r>
    </w:p>
    <w:p>
      <w:pPr>
        <w:rPr>
          <w:rFonts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drawing>
          <wp:inline distT="0" distB="0" distL="114300" distR="114300">
            <wp:extent cx="5271770" cy="3948430"/>
            <wp:effectExtent l="0" t="0" r="127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240" w:lineRule="auto"/>
        <w:rPr>
          <w:rFonts w:ascii="新宋体" w:hAnsi="新宋体" w:eastAsia="新宋体" w:cs="新宋体"/>
          <w:sz w:val="28"/>
          <w:szCs w:val="22"/>
        </w:rPr>
      </w:pPr>
      <w:bookmarkStart w:id="8" w:name="_Toc23331599"/>
      <w:r>
        <w:rPr>
          <w:rFonts w:hint="eastAsia" w:ascii="新宋体" w:hAnsi="新宋体" w:eastAsia="新宋体" w:cs="新宋体"/>
          <w:sz w:val="28"/>
          <w:szCs w:val="22"/>
        </w:rPr>
        <w:t>申请复核</w:t>
      </w:r>
      <w:bookmarkEnd w:id="8"/>
    </w:p>
    <w:p>
      <w:pPr>
        <w:rPr>
          <w:rFonts w:ascii="新宋体" w:hAnsi="新宋体" w:eastAsia="新宋体" w:cs="新宋体"/>
          <w:sz w:val="22"/>
          <w:szCs w:val="22"/>
        </w:rPr>
      </w:pPr>
      <w:r>
        <w:rPr>
          <w:rFonts w:hint="eastAsia" w:ascii="新宋体" w:hAnsi="新宋体" w:eastAsia="新宋体" w:cs="新宋体"/>
        </w:rPr>
        <w:drawing>
          <wp:inline distT="0" distB="0" distL="114300" distR="114300">
            <wp:extent cx="5271135" cy="3346450"/>
            <wp:effectExtent l="0" t="0" r="1905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新宋体" w:hAnsi="新宋体" w:eastAsia="新宋体" w:cs="新宋体"/>
        </w:rPr>
        <w:drawing>
          <wp:inline distT="0" distB="0" distL="114300" distR="114300">
            <wp:extent cx="5268595" cy="3202940"/>
            <wp:effectExtent l="0" t="0" r="4445" b="127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新宋体" w:hAnsi="新宋体" w:eastAsia="新宋体" w:cs="新宋体"/>
        </w:rPr>
      </w:pPr>
    </w:p>
    <w:p>
      <w:pPr>
        <w:rPr>
          <w:rFonts w:ascii="新宋体" w:hAnsi="新宋体" w:eastAsia="新宋体" w:cs="新宋体"/>
        </w:rPr>
      </w:pPr>
    </w:p>
    <w:p>
      <w:pPr>
        <w:pStyle w:val="2"/>
        <w:pageBreakBefore/>
        <w:jc w:val="center"/>
        <w:rPr>
          <w:rFonts w:ascii="新宋体" w:hAnsi="新宋体" w:eastAsia="新宋体" w:cs="新宋体"/>
          <w:sz w:val="40"/>
          <w:szCs w:val="22"/>
        </w:rPr>
      </w:pPr>
      <w:bookmarkStart w:id="9" w:name="_Toc23331600"/>
      <w:r>
        <w:rPr>
          <w:rFonts w:hint="eastAsia" w:ascii="新宋体" w:hAnsi="新宋体" w:eastAsia="新宋体" w:cs="新宋体"/>
          <w:sz w:val="40"/>
          <w:szCs w:val="22"/>
        </w:rPr>
        <w:t>律师专业水平评定操作指引【律师事务所版】</w:t>
      </w:r>
      <w:bookmarkEnd w:id="9"/>
    </w:p>
    <w:p>
      <w:pPr>
        <w:pStyle w:val="3"/>
        <w:numPr>
          <w:ilvl w:val="0"/>
          <w:numId w:val="4"/>
        </w:numPr>
        <w:spacing w:line="240" w:lineRule="auto"/>
        <w:rPr>
          <w:rFonts w:ascii="新宋体" w:hAnsi="新宋体" w:eastAsia="新宋体" w:cs="新宋体"/>
          <w:sz w:val="28"/>
          <w:szCs w:val="22"/>
        </w:rPr>
      </w:pPr>
      <w:bookmarkStart w:id="10" w:name="_Toc23331601"/>
      <w:r>
        <w:rPr>
          <w:rFonts w:hint="eastAsia" w:ascii="新宋体" w:hAnsi="新宋体" w:eastAsia="新宋体" w:cs="新宋体"/>
          <w:sz w:val="28"/>
          <w:szCs w:val="22"/>
        </w:rPr>
        <w:t>律师事务所账号登录系统</w:t>
      </w:r>
      <w:bookmarkEnd w:id="10"/>
    </w:p>
    <w:p>
      <w:pPr>
        <w:rPr>
          <w:rFonts w:hint="eastAsia" w:ascii="新宋体" w:hAnsi="新宋体" w:eastAsia="新宋体" w:cs="新宋体"/>
          <w:lang w:val="en-US" w:eastAsia="zh-CN"/>
        </w:rPr>
      </w:pPr>
      <w:r>
        <w:rPr>
          <w:rFonts w:hint="eastAsia" w:ascii="新宋体" w:hAnsi="新宋体" w:eastAsia="新宋体" w:cs="新宋体"/>
        </w:rPr>
        <w:t>律师事务所账号为：统一社会信用代码</w:t>
      </w:r>
      <w:r>
        <w:rPr>
          <w:rFonts w:hint="eastAsia" w:ascii="新宋体" w:hAnsi="新宋体" w:eastAsia="新宋体" w:cs="新宋体"/>
          <w:lang w:val="en-US" w:eastAsia="zh-CN"/>
        </w:rPr>
        <w:t>或律所名称中文全称</w:t>
      </w:r>
    </w:p>
    <w:p>
      <w:pPr>
        <w:rPr>
          <w:rFonts w:hint="eastAsia" w:ascii="新宋体" w:hAnsi="新宋体" w:eastAsia="新宋体" w:cs="新宋体"/>
          <w:sz w:val="24"/>
          <w:szCs w:val="21"/>
          <w:lang w:eastAsia="zh-CN"/>
        </w:rPr>
      </w:pPr>
      <w:r>
        <w:rPr>
          <w:rFonts w:hint="eastAsia" w:ascii="新宋体" w:hAnsi="新宋体" w:eastAsia="新宋体" w:cs="新宋体"/>
        </w:rPr>
        <w:t>初始密码为：</w:t>
      </w:r>
      <w:r>
        <w:rPr>
          <w:rFonts w:hint="eastAsia" w:ascii="新宋体" w:hAnsi="新宋体" w:eastAsia="新宋体" w:cs="新宋体"/>
          <w:sz w:val="24"/>
          <w:szCs w:val="21"/>
        </w:rPr>
        <w:t>SiChuan2022@#lx</w:t>
      </w:r>
      <w:r>
        <w:rPr>
          <w:rFonts w:hint="eastAsia" w:ascii="新宋体" w:hAnsi="新宋体" w:eastAsia="新宋体" w:cs="新宋体"/>
          <w:sz w:val="24"/>
          <w:szCs w:val="21"/>
          <w:lang w:eastAsia="zh-CN"/>
        </w:rPr>
        <w:t>（</w:t>
      </w:r>
      <w:r>
        <w:rPr>
          <w:rFonts w:hint="eastAsia" w:ascii="新宋体" w:hAnsi="新宋体" w:eastAsia="新宋体" w:cs="新宋体"/>
          <w:sz w:val="24"/>
          <w:szCs w:val="21"/>
          <w:lang w:val="en-US" w:eastAsia="zh-CN"/>
        </w:rPr>
        <w:t>无法登录请使用身份核验登录或联系律协重置密码</w:t>
      </w:r>
      <w:r>
        <w:rPr>
          <w:rFonts w:hint="eastAsia" w:ascii="新宋体" w:hAnsi="新宋体" w:eastAsia="新宋体" w:cs="新宋体"/>
          <w:sz w:val="24"/>
          <w:szCs w:val="21"/>
          <w:lang w:eastAsia="zh-CN"/>
        </w:rPr>
        <w:t>）</w:t>
      </w:r>
    </w:p>
    <w:p>
      <w:pPr>
        <w:rPr>
          <w:rFonts w:ascii="新宋体" w:hAnsi="新宋体" w:eastAsia="新宋体" w:cs="新宋体"/>
        </w:rPr>
      </w:pPr>
    </w:p>
    <w:p>
      <w:pPr>
        <w:pStyle w:val="3"/>
        <w:numPr>
          <w:ilvl w:val="0"/>
          <w:numId w:val="4"/>
        </w:numPr>
        <w:spacing w:line="240" w:lineRule="auto"/>
        <w:rPr>
          <w:rFonts w:ascii="新宋体" w:hAnsi="新宋体" w:eastAsia="新宋体" w:cs="新宋体"/>
          <w:sz w:val="28"/>
          <w:szCs w:val="22"/>
        </w:rPr>
      </w:pPr>
      <w:bookmarkStart w:id="11" w:name="_Toc23331602"/>
      <w:r>
        <w:rPr>
          <w:rFonts w:hint="eastAsia" w:ascii="新宋体" w:hAnsi="新宋体" w:eastAsia="新宋体" w:cs="新宋体"/>
          <w:sz w:val="28"/>
          <w:szCs w:val="22"/>
        </w:rPr>
        <w:t>进入菜单【专业评定待律所审核】，审核律师申请</w:t>
      </w:r>
      <w:bookmarkEnd w:id="11"/>
    </w:p>
    <w:p>
      <w:pPr>
        <w:rPr>
          <w:rFonts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drawing>
          <wp:inline distT="0" distB="0" distL="114300" distR="114300">
            <wp:extent cx="5271770" cy="2775585"/>
            <wp:effectExtent l="0" t="0" r="127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操作：“审核通过”、“驳回重新填报”，审核意见律师可以登录系统，进入申报菜单进行查看。</w:t>
      </w:r>
    </w:p>
    <w:p>
      <w:pPr>
        <w:rPr>
          <w:rFonts w:hint="eastAsia" w:ascii="新宋体" w:hAnsi="新宋体" w:eastAsia="新宋体" w:cs="新宋体"/>
        </w:rPr>
      </w:pPr>
    </w:p>
    <w:p>
      <w:pPr>
        <w:pStyle w:val="3"/>
        <w:numPr>
          <w:ilvl w:val="0"/>
          <w:numId w:val="4"/>
        </w:numPr>
        <w:spacing w:line="240" w:lineRule="auto"/>
        <w:rPr>
          <w:rFonts w:hint="eastAsia" w:ascii="新宋体" w:hAnsi="新宋体" w:eastAsia="新宋体" w:cs="新宋体"/>
          <w:sz w:val="28"/>
          <w:szCs w:val="22"/>
        </w:rPr>
      </w:pPr>
      <w:bookmarkStart w:id="12" w:name="_Toc23331603"/>
      <w:r>
        <w:rPr>
          <w:rFonts w:hint="eastAsia" w:ascii="新宋体" w:hAnsi="新宋体" w:eastAsia="新宋体" w:cs="新宋体"/>
          <w:sz w:val="28"/>
          <w:szCs w:val="22"/>
        </w:rPr>
        <w:t>律师事务所审核内容</w:t>
      </w:r>
      <w:bookmarkEnd w:id="12"/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所在律师事务所对申请人的政治表现、诚信状况、执业年限和执业能力等参评条件进行审查后，提出审查意见。</w:t>
      </w:r>
    </w:p>
    <w:p>
      <w:pPr>
        <w:rPr>
          <w:rFonts w:hint="eastAsia"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t>律师事务所对申请人的政治表现进行考核时，应当听取律师事务所党组织的意见。</w:t>
      </w:r>
    </w:p>
    <w:p/>
    <w:p>
      <w:pPr>
        <w:rPr>
          <w:rFonts w:ascii="新宋体" w:hAnsi="新宋体" w:eastAsia="新宋体" w:cs="新宋体"/>
        </w:rPr>
      </w:pPr>
    </w:p>
    <w:p>
      <w:pPr>
        <w:rPr>
          <w:rFonts w:ascii="新宋体" w:hAnsi="新宋体" w:eastAsia="新宋体" w:cs="新宋体"/>
        </w:rPr>
      </w:pPr>
      <w:r>
        <w:rPr>
          <w:rFonts w:hint="eastAsia" w:ascii="新宋体" w:hAnsi="新宋体" w:eastAsia="新宋体" w:cs="新宋体"/>
        </w:rPr>
        <w:drawing>
          <wp:inline distT="0" distB="0" distL="114300" distR="114300">
            <wp:extent cx="5269230" cy="486664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新宋体" w:hAnsi="新宋体" w:eastAsia="新宋体" w:cs="新宋体"/>
        </w:rPr>
      </w:pPr>
    </w:p>
    <w:p>
      <w:pPr>
        <w:rPr>
          <w:rFonts w:ascii="新宋体" w:hAnsi="新宋体" w:eastAsia="新宋体" w:cs="新宋体"/>
          <w:sz w:val="22"/>
          <w:szCs w:val="22"/>
        </w:rPr>
      </w:pPr>
    </w:p>
    <w:p>
      <w:pPr>
        <w:rPr>
          <w:rFonts w:ascii="新宋体" w:hAnsi="新宋体" w:eastAsia="新宋体" w:cs="新宋体"/>
          <w:sz w:val="22"/>
          <w:szCs w:val="22"/>
        </w:rPr>
      </w:pPr>
      <w:bookmarkStart w:id="13" w:name="_GoBack"/>
      <w:bookmarkEnd w:id="1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3C22EC"/>
    <w:multiLevelType w:val="singleLevel"/>
    <w:tmpl w:val="0C3C22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31FD6ED"/>
    <w:multiLevelType w:val="multilevel"/>
    <w:tmpl w:val="231FD6E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396DE24E"/>
    <w:multiLevelType w:val="singleLevel"/>
    <w:tmpl w:val="396DE24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C115CCD"/>
    <w:multiLevelType w:val="singleLevel"/>
    <w:tmpl w:val="4C115CC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zFkM2QyMzcyNmRiYzAwZTM5ZjQ3M2UyYTk3NDFmM2IifQ=="/>
  </w:docVars>
  <w:rsids>
    <w:rsidRoot w:val="58D31CAF"/>
    <w:rsid w:val="00177A7C"/>
    <w:rsid w:val="00186025"/>
    <w:rsid w:val="00421DDB"/>
    <w:rsid w:val="0049014C"/>
    <w:rsid w:val="004B55F2"/>
    <w:rsid w:val="00637865"/>
    <w:rsid w:val="00732AFC"/>
    <w:rsid w:val="00E406E7"/>
    <w:rsid w:val="02C44551"/>
    <w:rsid w:val="056C3742"/>
    <w:rsid w:val="0A257396"/>
    <w:rsid w:val="1DA5668E"/>
    <w:rsid w:val="27046665"/>
    <w:rsid w:val="35545C1D"/>
    <w:rsid w:val="40EE70E1"/>
    <w:rsid w:val="48C02A67"/>
    <w:rsid w:val="4C10083C"/>
    <w:rsid w:val="589E54D9"/>
    <w:rsid w:val="58D31CAF"/>
    <w:rsid w:val="5AF06F64"/>
    <w:rsid w:val="60567563"/>
    <w:rsid w:val="6B245B84"/>
    <w:rsid w:val="6F6637F1"/>
    <w:rsid w:val="760F4CD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basedOn w:val="10"/>
    <w:qFormat/>
    <w:uiPriority w:val="99"/>
    <w:rPr>
      <w:color w:val="0000FF"/>
      <w:u w:val="single"/>
    </w:rPr>
  </w:style>
  <w:style w:type="character" w:customStyle="1" w:styleId="12">
    <w:name w:val="页眉 Char"/>
    <w:basedOn w:val="10"/>
    <w:link w:val="6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批注框文本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FD829-93D9-462E-87B1-F19518D98B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683</Words>
  <Characters>3896</Characters>
  <Lines>32</Lines>
  <Paragraphs>9</Paragraphs>
  <TotalTime>2</TotalTime>
  <ScaleCrop>false</ScaleCrop>
  <LinksUpToDate>false</LinksUpToDate>
  <CharactersWithSpaces>4570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2019-10-29T09:12:00Z</dcterms:created>
  <dc:creator>范红鑫</dc:creator>
  <cp:lastModifiedBy>背影</cp:lastModifiedBy>
  <cp:lastPrinted>2019-10-30T04:40:00Z</cp:lastPrinted>
  <dcterms:modified xsi:type="dcterms:W3CDTF">2023-11-27T06:51:51Z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838D8E79400B493E8DA2E2E0E5D6F4C1_12</vt:lpwstr>
  </property>
</Properties>
</file>