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sz w:val="48"/>
          <w:szCs w:val="56"/>
        </w:rPr>
      </w:pPr>
    </w:p>
    <w:p>
      <w:pPr>
        <w:jc w:val="center"/>
        <w:rPr>
          <w:rFonts w:ascii="宋体" w:hAnsi="宋体" w:eastAsia="宋体" w:cs="宋体"/>
          <w:sz w:val="48"/>
          <w:szCs w:val="56"/>
        </w:rPr>
      </w:pPr>
    </w:p>
    <w:p>
      <w:pPr>
        <w:jc w:val="center"/>
        <w:rPr>
          <w:rFonts w:ascii="宋体" w:hAnsi="宋体" w:eastAsia="宋体" w:cs="宋体"/>
          <w:sz w:val="48"/>
          <w:szCs w:val="56"/>
        </w:rPr>
      </w:pPr>
    </w:p>
    <w:p>
      <w:pPr>
        <w:jc w:val="center"/>
        <w:rPr>
          <w:rFonts w:ascii="宋体" w:hAnsi="宋体" w:eastAsia="宋体" w:cs="宋体"/>
          <w:sz w:val="48"/>
          <w:szCs w:val="56"/>
        </w:rPr>
      </w:pPr>
    </w:p>
    <w:p>
      <w:pPr>
        <w:jc w:val="center"/>
        <w:rPr>
          <w:rFonts w:ascii="宋体" w:hAnsi="宋体" w:eastAsia="宋体" w:cs="宋体"/>
          <w:sz w:val="48"/>
          <w:szCs w:val="56"/>
        </w:rPr>
      </w:pPr>
    </w:p>
    <w:p>
      <w:pPr>
        <w:jc w:val="center"/>
        <w:rPr>
          <w:rFonts w:hint="eastAsia" w:ascii="宋体" w:hAnsi="宋体" w:eastAsia="宋体" w:cs="宋体"/>
          <w:b/>
          <w:bCs/>
          <w:sz w:val="52"/>
          <w:szCs w:val="72"/>
        </w:rPr>
      </w:pPr>
      <w:r>
        <w:rPr>
          <w:rFonts w:hint="eastAsia" w:ascii="宋体" w:hAnsi="宋体" w:eastAsia="宋体" w:cs="宋体"/>
          <w:b/>
          <w:bCs/>
          <w:sz w:val="52"/>
          <w:szCs w:val="72"/>
        </w:rPr>
        <w:t>前海交易广场停车场交流充电桩投资建设运营项目</w:t>
      </w:r>
    </w:p>
    <w:p>
      <w:pPr>
        <w:jc w:val="center"/>
        <w:rPr>
          <w:rFonts w:hint="eastAsia" w:ascii="宋体" w:hAnsi="宋体" w:eastAsia="宋体" w:cs="宋体"/>
          <w:b/>
          <w:bCs/>
          <w:sz w:val="52"/>
          <w:szCs w:val="72"/>
        </w:rPr>
      </w:pPr>
    </w:p>
    <w:p>
      <w:pPr>
        <w:jc w:val="center"/>
        <w:rPr>
          <w:rFonts w:ascii="宋体" w:hAnsi="宋体" w:eastAsia="宋体" w:cs="宋体"/>
          <w:sz w:val="48"/>
          <w:szCs w:val="56"/>
        </w:rPr>
      </w:pPr>
      <w:r>
        <w:rPr>
          <w:rFonts w:hint="eastAsia" w:ascii="宋体" w:hAnsi="宋体" w:eastAsia="宋体" w:cs="宋体"/>
          <w:b/>
          <w:bCs/>
          <w:sz w:val="52"/>
          <w:szCs w:val="72"/>
        </w:rPr>
        <w:t>竞争性谈判文件</w:t>
      </w:r>
    </w:p>
    <w:p>
      <w:pPr>
        <w:rPr>
          <w:rFonts w:ascii="宋体" w:hAnsi="宋体" w:eastAsia="宋体" w:cs="宋体"/>
          <w:sz w:val="48"/>
          <w:szCs w:val="56"/>
        </w:rPr>
      </w:pPr>
    </w:p>
    <w:p>
      <w:pPr>
        <w:rPr>
          <w:rFonts w:ascii="宋体" w:hAnsi="宋体" w:eastAsia="宋体" w:cs="宋体"/>
          <w:sz w:val="48"/>
          <w:szCs w:val="56"/>
        </w:rPr>
      </w:pPr>
    </w:p>
    <w:p>
      <w:pPr>
        <w:rPr>
          <w:rFonts w:ascii="宋体" w:hAnsi="宋体" w:eastAsia="宋体" w:cs="宋体"/>
          <w:sz w:val="48"/>
          <w:szCs w:val="56"/>
        </w:rPr>
      </w:pPr>
    </w:p>
    <w:p>
      <w:pPr>
        <w:rPr>
          <w:rFonts w:ascii="宋体" w:hAnsi="宋体" w:eastAsia="宋体" w:cs="宋体"/>
          <w:sz w:val="48"/>
          <w:szCs w:val="56"/>
        </w:rPr>
      </w:pPr>
    </w:p>
    <w:p>
      <w:pPr>
        <w:rPr>
          <w:rFonts w:ascii="宋体" w:hAnsi="宋体" w:eastAsia="宋体" w:cs="宋体"/>
          <w:sz w:val="48"/>
          <w:szCs w:val="56"/>
        </w:rPr>
      </w:pPr>
    </w:p>
    <w:p>
      <w:pPr>
        <w:rPr>
          <w:rFonts w:ascii="宋体" w:hAnsi="宋体" w:eastAsia="宋体" w:cs="宋体"/>
          <w:sz w:val="48"/>
          <w:szCs w:val="56"/>
        </w:rPr>
      </w:pPr>
    </w:p>
    <w:p>
      <w:pPr>
        <w:rPr>
          <w:rFonts w:ascii="宋体" w:hAnsi="宋体" w:eastAsia="宋体" w:cs="宋体"/>
          <w:sz w:val="48"/>
          <w:szCs w:val="56"/>
        </w:rPr>
      </w:pPr>
    </w:p>
    <w:p>
      <w:pPr>
        <w:rPr>
          <w:rFonts w:ascii="宋体" w:hAnsi="宋体" w:eastAsia="宋体" w:cs="宋体"/>
          <w:sz w:val="48"/>
          <w:szCs w:val="56"/>
        </w:rPr>
      </w:pPr>
    </w:p>
    <w:p>
      <w:pPr>
        <w:rPr>
          <w:rFonts w:ascii="宋体" w:hAnsi="宋体" w:eastAsia="宋体" w:cs="宋体"/>
          <w:sz w:val="48"/>
          <w:szCs w:val="56"/>
        </w:rPr>
      </w:pPr>
    </w:p>
    <w:p>
      <w:pPr>
        <w:jc w:val="center"/>
        <w:rPr>
          <w:rFonts w:ascii="宋体" w:hAnsi="宋体" w:eastAsia="宋体" w:cs="宋体"/>
          <w:b/>
          <w:bCs/>
          <w:sz w:val="32"/>
          <w:szCs w:val="40"/>
        </w:rPr>
      </w:pPr>
      <w:r>
        <w:rPr>
          <w:rFonts w:hint="eastAsia" w:ascii="宋体" w:hAnsi="宋体" w:eastAsia="宋体" w:cs="宋体"/>
          <w:b/>
          <w:bCs/>
          <w:sz w:val="32"/>
          <w:szCs w:val="40"/>
        </w:rPr>
        <w:t>深圳市前海</w:t>
      </w:r>
      <w:r>
        <w:rPr>
          <w:rFonts w:hint="eastAsia" w:ascii="宋体" w:hAnsi="宋体" w:eastAsia="宋体" w:cs="宋体"/>
          <w:b/>
          <w:bCs/>
          <w:sz w:val="32"/>
          <w:szCs w:val="40"/>
          <w:lang w:val="en-US" w:eastAsia="zh-CN"/>
        </w:rPr>
        <w:t>智慧园区</w:t>
      </w:r>
      <w:r>
        <w:rPr>
          <w:rFonts w:hint="eastAsia" w:ascii="宋体" w:hAnsi="宋体" w:eastAsia="宋体" w:cs="宋体"/>
          <w:b/>
          <w:bCs/>
          <w:sz w:val="32"/>
          <w:szCs w:val="40"/>
        </w:rPr>
        <w:t>有限公司</w:t>
      </w:r>
    </w:p>
    <w:p>
      <w:pPr>
        <w:jc w:val="center"/>
        <w:rPr>
          <w:rFonts w:ascii="宋体" w:hAnsi="宋体" w:eastAsia="宋体" w:cs="宋体"/>
          <w:b/>
          <w:bCs/>
          <w:sz w:val="32"/>
          <w:szCs w:val="40"/>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b/>
          <w:bCs/>
          <w:sz w:val="32"/>
          <w:szCs w:val="40"/>
        </w:rPr>
        <w:t>202</w:t>
      </w:r>
      <w:r>
        <w:rPr>
          <w:rFonts w:hint="eastAsia" w:ascii="宋体" w:hAnsi="宋体" w:eastAsia="宋体" w:cs="宋体"/>
          <w:b/>
          <w:bCs/>
          <w:sz w:val="32"/>
          <w:szCs w:val="40"/>
          <w:lang w:val="en-US" w:eastAsia="zh-CN"/>
        </w:rPr>
        <w:t>3</w:t>
      </w:r>
      <w:r>
        <w:rPr>
          <w:rFonts w:hint="eastAsia" w:ascii="宋体" w:hAnsi="宋体" w:eastAsia="宋体" w:cs="宋体"/>
          <w:b/>
          <w:bCs/>
          <w:sz w:val="32"/>
          <w:szCs w:val="40"/>
        </w:rPr>
        <w:t>年</w:t>
      </w:r>
      <w:r>
        <w:rPr>
          <w:rFonts w:hint="eastAsia" w:ascii="宋体" w:hAnsi="宋体" w:eastAsia="宋体" w:cs="宋体"/>
          <w:b/>
          <w:bCs/>
          <w:sz w:val="32"/>
          <w:szCs w:val="40"/>
          <w:lang w:val="en-US" w:eastAsia="zh-CN"/>
        </w:rPr>
        <w:t>8</w:t>
      </w:r>
      <w:r>
        <w:rPr>
          <w:rFonts w:hint="eastAsia" w:ascii="宋体" w:hAnsi="宋体" w:eastAsia="宋体" w:cs="宋体"/>
          <w:b/>
          <w:bCs/>
          <w:sz w:val="32"/>
          <w:szCs w:val="40"/>
        </w:rPr>
        <w:t>月</w:t>
      </w:r>
      <w:r>
        <w:rPr>
          <w:rFonts w:hint="eastAsia" w:ascii="宋体" w:hAnsi="宋体" w:eastAsia="宋体" w:cs="宋体"/>
          <w:b/>
          <w:bCs/>
          <w:sz w:val="32"/>
          <w:szCs w:val="40"/>
          <w:lang w:val="en-US" w:eastAsia="zh-CN"/>
        </w:rPr>
        <w:t>1</w:t>
      </w:r>
      <w:r>
        <w:rPr>
          <w:rFonts w:hint="eastAsia" w:ascii="宋体" w:hAnsi="宋体" w:eastAsia="宋体" w:cs="宋体"/>
          <w:b/>
          <w:bCs/>
          <w:sz w:val="32"/>
          <w:szCs w:val="40"/>
        </w:rPr>
        <w:t>日</w:t>
      </w:r>
    </w:p>
    <w:sdt>
      <w:sdtPr>
        <w:rPr>
          <w:rFonts w:ascii="宋体" w:hAnsi="宋体" w:eastAsia="宋体"/>
        </w:rPr>
        <w:id w:val="147456072"/>
        <w15:color w:val="DBDBDB"/>
        <w:docPartObj>
          <w:docPartGallery w:val="Table of Contents"/>
          <w:docPartUnique/>
        </w:docPartObj>
      </w:sdtPr>
      <w:sdtEndPr>
        <w:rPr>
          <w:rFonts w:ascii="宋体" w:hAnsi="宋体" w:eastAsia="宋体"/>
        </w:rPr>
      </w:sdtEndPr>
      <w:sdtContent>
        <w:p>
          <w:pPr>
            <w:jc w:val="center"/>
          </w:pPr>
          <w:r>
            <w:rPr>
              <w:rFonts w:ascii="宋体" w:hAnsi="宋体" w:eastAsia="宋体"/>
            </w:rPr>
            <w:t>目录</w:t>
          </w:r>
        </w:p>
        <w:p>
          <w:pPr>
            <w:pStyle w:val="11"/>
            <w:tabs>
              <w:tab w:val="right" w:leader="dot" w:pos="8306"/>
            </w:tabs>
          </w:pPr>
          <w:r>
            <w:fldChar w:fldCharType="begin"/>
          </w:r>
          <w:r>
            <w:instrText xml:space="preserve">TOC \o "1-3" \h \u </w:instrText>
          </w:r>
          <w:r>
            <w:fldChar w:fldCharType="separate"/>
          </w:r>
          <w:r>
            <w:fldChar w:fldCharType="begin"/>
          </w:r>
          <w:r>
            <w:instrText xml:space="preserve"> HYPERLINK \l _Toc17077 </w:instrText>
          </w:r>
          <w:r>
            <w:fldChar w:fldCharType="separate"/>
          </w:r>
          <w:r>
            <w:rPr>
              <w:rFonts w:hint="eastAsia"/>
            </w:rPr>
            <w:t>第一部分 竞争性谈判</w:t>
          </w:r>
          <w:r>
            <w:rPr>
              <w:rFonts w:hint="eastAsia"/>
              <w:lang w:val="en-US" w:eastAsia="zh-CN"/>
            </w:rPr>
            <w:t>公告</w:t>
          </w:r>
          <w:r>
            <w:tab/>
          </w:r>
          <w:r>
            <w:fldChar w:fldCharType="begin"/>
          </w:r>
          <w:r>
            <w:instrText xml:space="preserve"> PAGEREF _Toc17077 \h </w:instrText>
          </w:r>
          <w:r>
            <w:fldChar w:fldCharType="separate"/>
          </w:r>
          <w:r>
            <w:t>3</w:t>
          </w:r>
          <w:r>
            <w:fldChar w:fldCharType="end"/>
          </w:r>
          <w:r>
            <w:fldChar w:fldCharType="end"/>
          </w:r>
        </w:p>
        <w:p>
          <w:pPr>
            <w:pStyle w:val="13"/>
            <w:tabs>
              <w:tab w:val="right" w:leader="dot" w:pos="8306"/>
            </w:tabs>
          </w:pPr>
        </w:p>
        <w:p>
          <w:pPr>
            <w:pStyle w:val="11"/>
            <w:tabs>
              <w:tab w:val="right" w:leader="dot" w:pos="8306"/>
            </w:tabs>
          </w:pPr>
          <w:r>
            <w:fldChar w:fldCharType="begin"/>
          </w:r>
          <w:r>
            <w:instrText xml:space="preserve"> HYPERLINK \l _Toc28275 </w:instrText>
          </w:r>
          <w:r>
            <w:fldChar w:fldCharType="separate"/>
          </w:r>
          <w:r>
            <w:rPr>
              <w:rFonts w:hint="eastAsia"/>
            </w:rPr>
            <w:t>第</w:t>
          </w:r>
          <w:r>
            <w:rPr>
              <w:rFonts w:hint="eastAsia"/>
              <w:lang w:val="en-US" w:eastAsia="zh-CN"/>
            </w:rPr>
            <w:t>二</w:t>
          </w:r>
          <w:r>
            <w:rPr>
              <w:rFonts w:hint="eastAsia"/>
            </w:rPr>
            <w:t xml:space="preserve">部分 </w:t>
          </w:r>
          <w:r>
            <w:rPr>
              <w:rFonts w:hint="eastAsia"/>
              <w:lang w:val="en-US" w:eastAsia="zh-CN"/>
            </w:rPr>
            <w:t>招标需求</w:t>
          </w:r>
          <w:r>
            <w:tab/>
          </w:r>
          <w:r>
            <w:fldChar w:fldCharType="begin"/>
          </w:r>
          <w:r>
            <w:instrText xml:space="preserve"> PAGEREF _Toc28275 \h </w:instrText>
          </w:r>
          <w:r>
            <w:fldChar w:fldCharType="separate"/>
          </w:r>
          <w:r>
            <w:t>5</w:t>
          </w:r>
          <w:r>
            <w:fldChar w:fldCharType="end"/>
          </w:r>
          <w:r>
            <w:fldChar w:fldCharType="end"/>
          </w:r>
        </w:p>
        <w:p>
          <w:pPr>
            <w:pStyle w:val="13"/>
            <w:tabs>
              <w:tab w:val="right" w:leader="dot" w:pos="8306"/>
            </w:tabs>
          </w:pPr>
        </w:p>
        <w:p>
          <w:pPr>
            <w:pStyle w:val="11"/>
            <w:tabs>
              <w:tab w:val="right" w:leader="dot" w:pos="8306"/>
            </w:tabs>
          </w:pPr>
          <w:r>
            <w:fldChar w:fldCharType="begin"/>
          </w:r>
          <w:r>
            <w:instrText xml:space="preserve"> HYPERLINK \l _Toc10586 </w:instrText>
          </w:r>
          <w:r>
            <w:fldChar w:fldCharType="separate"/>
          </w:r>
          <w:r>
            <w:rPr>
              <w:rFonts w:hint="eastAsia"/>
            </w:rPr>
            <w:t>第</w:t>
          </w:r>
          <w:r>
            <w:rPr>
              <w:rFonts w:hint="eastAsia"/>
              <w:lang w:val="en-US" w:eastAsia="zh-CN"/>
            </w:rPr>
            <w:t>三</w:t>
          </w:r>
          <w:r>
            <w:rPr>
              <w:rFonts w:hint="eastAsia"/>
            </w:rPr>
            <w:t>部分 竞争性谈判须知</w:t>
          </w:r>
          <w:r>
            <w:tab/>
          </w:r>
          <w:r>
            <w:fldChar w:fldCharType="begin"/>
          </w:r>
          <w:r>
            <w:instrText xml:space="preserve"> PAGEREF _Toc10586 \h </w:instrText>
          </w:r>
          <w:r>
            <w:fldChar w:fldCharType="separate"/>
          </w:r>
          <w:r>
            <w:t>8</w:t>
          </w:r>
          <w:r>
            <w:fldChar w:fldCharType="end"/>
          </w:r>
          <w:r>
            <w:fldChar w:fldCharType="end"/>
          </w:r>
        </w:p>
        <w:p>
          <w:pPr>
            <w:pStyle w:val="13"/>
            <w:tabs>
              <w:tab w:val="right" w:leader="dot" w:pos="8306"/>
            </w:tabs>
          </w:pPr>
        </w:p>
        <w:p>
          <w:pPr>
            <w:pStyle w:val="11"/>
            <w:tabs>
              <w:tab w:val="right" w:leader="dot" w:pos="8306"/>
            </w:tabs>
          </w:pPr>
          <w:r>
            <w:fldChar w:fldCharType="begin"/>
          </w:r>
          <w:r>
            <w:instrText xml:space="preserve"> HYPERLINK \l _Toc8699 </w:instrText>
          </w:r>
          <w:r>
            <w:fldChar w:fldCharType="separate"/>
          </w:r>
          <w:r>
            <w:rPr>
              <w:rFonts w:hint="eastAsia"/>
            </w:rPr>
            <w:t>第</w:t>
          </w:r>
          <w:r>
            <w:rPr>
              <w:rFonts w:hint="eastAsia"/>
              <w:lang w:val="en-US" w:eastAsia="zh-CN"/>
            </w:rPr>
            <w:t>四</w:t>
          </w:r>
          <w:r>
            <w:rPr>
              <w:rFonts w:hint="eastAsia"/>
            </w:rPr>
            <w:t>部分 合同</w:t>
          </w:r>
          <w:r>
            <w:rPr>
              <w:rFonts w:hint="eastAsia"/>
              <w:lang w:val="en-US" w:eastAsia="zh-CN"/>
            </w:rPr>
            <w:t>模板</w:t>
          </w:r>
          <w:r>
            <w:tab/>
          </w:r>
          <w:r>
            <w:fldChar w:fldCharType="begin"/>
          </w:r>
          <w:r>
            <w:instrText xml:space="preserve"> PAGEREF _Toc8699 \h </w:instrText>
          </w:r>
          <w:r>
            <w:fldChar w:fldCharType="separate"/>
          </w:r>
          <w:r>
            <w:t>15</w:t>
          </w:r>
          <w:r>
            <w:fldChar w:fldCharType="end"/>
          </w:r>
          <w:r>
            <w:fldChar w:fldCharType="end"/>
          </w:r>
        </w:p>
        <w:p>
          <w:pPr>
            <w:pStyle w:val="11"/>
            <w:tabs>
              <w:tab w:val="right" w:leader="dot" w:pos="8306"/>
            </w:tabs>
          </w:pPr>
        </w:p>
        <w:p>
          <w:pPr>
            <w:pStyle w:val="11"/>
            <w:tabs>
              <w:tab w:val="right" w:leader="dot" w:pos="8306"/>
            </w:tabs>
          </w:pPr>
          <w:r>
            <w:fldChar w:fldCharType="begin"/>
          </w:r>
          <w:r>
            <w:instrText xml:space="preserve"> HYPERLINK \l _Toc26874 </w:instrText>
          </w:r>
          <w:r>
            <w:fldChar w:fldCharType="separate"/>
          </w:r>
          <w:r>
            <w:rPr>
              <w:rFonts w:hint="eastAsia"/>
            </w:rPr>
            <w:t>第</w:t>
          </w:r>
          <w:r>
            <w:rPr>
              <w:rFonts w:hint="eastAsia"/>
              <w:lang w:val="en-US" w:eastAsia="zh-CN"/>
            </w:rPr>
            <w:t>五</w:t>
          </w:r>
          <w:r>
            <w:rPr>
              <w:rFonts w:hint="eastAsia"/>
            </w:rPr>
            <w:t>部分  谈判</w:t>
          </w:r>
          <w:r>
            <w:rPr>
              <w:rFonts w:hint="eastAsia"/>
              <w:lang w:val="en-US" w:eastAsia="zh-CN"/>
            </w:rPr>
            <w:t>应答</w:t>
          </w:r>
          <w:r>
            <w:rPr>
              <w:rFonts w:hint="eastAsia"/>
            </w:rPr>
            <w:t>文件格式</w:t>
          </w:r>
          <w:r>
            <w:tab/>
          </w:r>
          <w:r>
            <w:fldChar w:fldCharType="begin"/>
          </w:r>
          <w:r>
            <w:instrText xml:space="preserve"> PAGEREF _Toc26874 \h </w:instrText>
          </w:r>
          <w:r>
            <w:fldChar w:fldCharType="separate"/>
          </w:r>
          <w:r>
            <w:t>27</w:t>
          </w:r>
          <w:r>
            <w:fldChar w:fldCharType="end"/>
          </w:r>
          <w:r>
            <w:fldChar w:fldCharType="end"/>
          </w:r>
        </w:p>
        <w:p>
          <w:pPr>
            <w:pStyle w:val="11"/>
            <w:tabs>
              <w:tab w:val="right" w:leader="dot" w:pos="8306"/>
            </w:tabs>
          </w:pPr>
        </w:p>
        <w:p>
          <w:r>
            <w:fldChar w:fldCharType="end"/>
          </w:r>
        </w:p>
      </w:sdtContent>
    </w:sdt>
    <w:p>
      <w:pPr>
        <w:pStyle w:val="3"/>
        <w:sectPr>
          <w:pgSz w:w="11906" w:h="16838"/>
          <w:pgMar w:top="1440" w:right="1800" w:bottom="1440" w:left="1800" w:header="851" w:footer="992" w:gutter="0"/>
          <w:cols w:space="425" w:num="1"/>
          <w:docGrid w:type="lines" w:linePitch="312" w:charSpace="0"/>
        </w:sectPr>
      </w:pPr>
    </w:p>
    <w:p>
      <w:pPr>
        <w:pStyle w:val="3"/>
        <w:rPr>
          <w:rFonts w:hint="eastAsia" w:ascii="宋体" w:hAnsi="宋体" w:cs="宋体" w:eastAsiaTheme="minorEastAsia"/>
          <w:bCs/>
          <w:sz w:val="24"/>
          <w:u w:val="single"/>
          <w:lang w:eastAsia="zh-CN"/>
        </w:rPr>
      </w:pPr>
      <w:bookmarkStart w:id="0" w:name="_Toc10703"/>
      <w:bookmarkStart w:id="1" w:name="_Toc17077"/>
      <w:bookmarkStart w:id="2" w:name="_Toc4797"/>
      <w:r>
        <w:rPr>
          <w:rFonts w:hint="eastAsia"/>
        </w:rPr>
        <w:t>第一部分 竞争性谈判</w:t>
      </w:r>
      <w:bookmarkEnd w:id="0"/>
      <w:r>
        <w:rPr>
          <w:rFonts w:hint="eastAsia"/>
          <w:lang w:val="en-US" w:eastAsia="zh-CN"/>
        </w:rPr>
        <w:t>公告</w:t>
      </w:r>
      <w:bookmarkEnd w:id="1"/>
      <w:bookmarkEnd w:id="2"/>
    </w:p>
    <w:p>
      <w:p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u w:val="single"/>
        </w:rPr>
        <w:t>深圳市前海智慧</w:t>
      </w:r>
      <w:r>
        <w:rPr>
          <w:rFonts w:hint="eastAsia" w:ascii="宋体" w:hAnsi="宋体" w:eastAsia="宋体" w:cs="宋体"/>
          <w:sz w:val="21"/>
          <w:szCs w:val="21"/>
          <w:u w:val="single"/>
          <w:lang w:val="en-US" w:eastAsia="zh-CN"/>
        </w:rPr>
        <w:t>园区</w:t>
      </w:r>
      <w:r>
        <w:rPr>
          <w:rFonts w:hint="eastAsia" w:ascii="宋体" w:hAnsi="宋体" w:eastAsia="宋体" w:cs="宋体"/>
          <w:sz w:val="21"/>
          <w:szCs w:val="21"/>
          <w:u w:val="single"/>
        </w:rPr>
        <w:t>有限公司</w:t>
      </w:r>
      <w:r>
        <w:rPr>
          <w:rFonts w:hint="eastAsia" w:ascii="宋体" w:hAnsi="宋体" w:eastAsia="宋体" w:cs="宋体"/>
          <w:sz w:val="21"/>
          <w:szCs w:val="21"/>
        </w:rPr>
        <w:t>就</w:t>
      </w:r>
      <w:r>
        <w:rPr>
          <w:rFonts w:hint="eastAsia" w:ascii="宋体" w:hAnsi="宋体" w:eastAsia="宋体" w:cs="宋体"/>
          <w:sz w:val="21"/>
          <w:szCs w:val="21"/>
          <w:lang w:val="en-US" w:eastAsia="zh-CN"/>
        </w:rPr>
        <w:t xml:space="preserve"> </w:t>
      </w:r>
      <w:r>
        <w:rPr>
          <w:rFonts w:hint="eastAsia" w:ascii="宋体" w:hAnsi="宋体" w:eastAsia="宋体" w:cs="宋体"/>
          <w:sz w:val="21"/>
          <w:szCs w:val="21"/>
          <w:u w:val="single"/>
        </w:rPr>
        <w:t>前海交易广场停车场交流充电桩投资建设运营项目</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rPr>
        <w:t>组织竞争性谈判，</w:t>
      </w:r>
      <w:r>
        <w:rPr>
          <w:rFonts w:hint="eastAsia" w:ascii="宋体" w:hAnsi="宋体" w:eastAsia="宋体" w:cs="宋体"/>
          <w:sz w:val="21"/>
          <w:szCs w:val="21"/>
          <w:lang w:val="en-US" w:eastAsia="zh-CN"/>
        </w:rPr>
        <w:t>现</w:t>
      </w:r>
      <w:r>
        <w:rPr>
          <w:rFonts w:hint="eastAsia" w:ascii="宋体" w:hAnsi="宋体" w:eastAsia="宋体" w:cs="宋体"/>
          <w:sz w:val="21"/>
          <w:szCs w:val="21"/>
        </w:rPr>
        <w:t>将相关事项</w:t>
      </w:r>
      <w:r>
        <w:rPr>
          <w:rFonts w:hint="eastAsia" w:ascii="宋体" w:hAnsi="宋体" w:eastAsia="宋体" w:cs="宋体"/>
          <w:sz w:val="21"/>
          <w:szCs w:val="21"/>
          <w:lang w:val="en-US" w:eastAsia="zh-CN"/>
        </w:rPr>
        <w:t>公告</w:t>
      </w:r>
      <w:r>
        <w:rPr>
          <w:rFonts w:hint="eastAsia" w:ascii="宋体" w:hAnsi="宋体" w:eastAsia="宋体" w:cs="宋体"/>
          <w:sz w:val="21"/>
          <w:szCs w:val="21"/>
        </w:rPr>
        <w:t>如下</w:t>
      </w:r>
      <w:r>
        <w:rPr>
          <w:rFonts w:hint="eastAsia" w:ascii="宋体" w:hAnsi="宋体" w:eastAsia="宋体" w:cs="宋体"/>
          <w:sz w:val="21"/>
          <w:szCs w:val="21"/>
          <w:lang w:eastAsia="zh-CN"/>
        </w:rPr>
        <w:t>。</w:t>
      </w:r>
    </w:p>
    <w:p>
      <w:pPr>
        <w:spacing w:line="360" w:lineRule="auto"/>
        <w:outlineLvl w:val="1"/>
        <w:rPr>
          <w:rFonts w:ascii="宋体" w:hAnsi="宋体" w:eastAsia="宋体" w:cs="宋体"/>
          <w:b/>
          <w:bCs/>
          <w:sz w:val="21"/>
          <w:szCs w:val="21"/>
        </w:rPr>
      </w:pPr>
      <w:bookmarkStart w:id="3" w:name="_Toc31171"/>
      <w:bookmarkStart w:id="4" w:name="_Toc23956"/>
      <w:r>
        <w:rPr>
          <w:rFonts w:hint="eastAsia" w:ascii="宋体" w:hAnsi="宋体" w:eastAsia="宋体" w:cs="宋体"/>
          <w:b/>
          <w:bCs/>
          <w:sz w:val="21"/>
          <w:szCs w:val="21"/>
        </w:rPr>
        <w:t>一、项目名称：</w:t>
      </w:r>
      <w:r>
        <w:rPr>
          <w:rFonts w:hint="eastAsia" w:ascii="宋体" w:hAnsi="宋体" w:eastAsia="宋体" w:cs="宋体"/>
          <w:sz w:val="21"/>
          <w:szCs w:val="21"/>
        </w:rPr>
        <w:t>前海交易广场停车场交流充电桩投资建设运营项目</w:t>
      </w:r>
      <w:bookmarkEnd w:id="3"/>
      <w:bookmarkEnd w:id="4"/>
    </w:p>
    <w:p>
      <w:pPr>
        <w:spacing w:line="360" w:lineRule="auto"/>
        <w:outlineLvl w:val="1"/>
        <w:rPr>
          <w:rFonts w:ascii="宋体" w:hAnsi="宋体" w:eastAsia="宋体" w:cs="宋体"/>
          <w:b/>
          <w:bCs/>
          <w:sz w:val="21"/>
          <w:szCs w:val="21"/>
        </w:rPr>
      </w:pPr>
      <w:bookmarkStart w:id="5" w:name="_Toc29634"/>
      <w:bookmarkStart w:id="6" w:name="_Toc19105"/>
      <w:r>
        <w:rPr>
          <w:rFonts w:hint="eastAsia" w:ascii="宋体" w:hAnsi="宋体" w:eastAsia="宋体" w:cs="宋体"/>
          <w:b/>
          <w:bCs/>
          <w:sz w:val="21"/>
          <w:szCs w:val="21"/>
        </w:rPr>
        <w:t>二、项目概况：</w:t>
      </w:r>
      <w:bookmarkEnd w:id="5"/>
      <w:bookmarkEnd w:id="6"/>
    </w:p>
    <w:p>
      <w:pPr>
        <w:spacing w:line="360" w:lineRule="auto"/>
        <w:ind w:firstLine="422" w:firstLineChars="200"/>
        <w:rPr>
          <w:rFonts w:ascii="宋体" w:hAnsi="宋体" w:eastAsia="宋体" w:cs="宋体"/>
          <w:b/>
          <w:bCs/>
          <w:sz w:val="21"/>
          <w:szCs w:val="21"/>
        </w:rPr>
      </w:pPr>
      <w:r>
        <w:rPr>
          <w:rFonts w:hint="eastAsia" w:ascii="宋体" w:hAnsi="宋体" w:eastAsia="宋体" w:cs="宋体"/>
          <w:b/>
          <w:bCs/>
          <w:sz w:val="21"/>
          <w:szCs w:val="21"/>
        </w:rPr>
        <w:t>项目地点：</w:t>
      </w:r>
      <w:r>
        <w:rPr>
          <w:rFonts w:hint="eastAsia" w:ascii="宋体" w:hAnsi="宋体" w:eastAsia="宋体" w:cs="宋体"/>
          <w:sz w:val="21"/>
          <w:szCs w:val="21"/>
        </w:rPr>
        <w:t>深圳市前海合作区</w:t>
      </w:r>
    </w:p>
    <w:p>
      <w:pPr>
        <w:spacing w:line="360" w:lineRule="auto"/>
        <w:ind w:firstLine="422" w:firstLineChars="200"/>
        <w:rPr>
          <w:rFonts w:hint="default" w:ascii="宋体" w:hAnsi="宋体" w:eastAsia="宋体" w:cs="宋体"/>
          <w:sz w:val="21"/>
          <w:szCs w:val="21"/>
          <w:lang w:val="en-US" w:eastAsia="zh-CN"/>
        </w:rPr>
      </w:pPr>
      <w:r>
        <w:rPr>
          <w:rFonts w:hint="eastAsia" w:ascii="宋体" w:hAnsi="宋体" w:eastAsia="宋体" w:cs="宋体"/>
          <w:b/>
          <w:bCs/>
          <w:sz w:val="21"/>
          <w:szCs w:val="21"/>
        </w:rPr>
        <w:t>建筑规模：</w:t>
      </w:r>
      <w:r>
        <w:rPr>
          <w:rFonts w:hint="eastAsia" w:ascii="宋体" w:hAnsi="宋体" w:eastAsia="宋体" w:cs="宋体"/>
          <w:sz w:val="21"/>
          <w:szCs w:val="21"/>
        </w:rPr>
        <w:t>负责</w:t>
      </w:r>
      <w:r>
        <w:rPr>
          <w:rFonts w:hint="eastAsia" w:ascii="宋体" w:hAnsi="宋体" w:eastAsia="宋体" w:cs="宋体"/>
          <w:sz w:val="21"/>
          <w:szCs w:val="21"/>
          <w:lang w:val="en-US" w:eastAsia="zh-CN"/>
        </w:rPr>
        <w:t>前海交易广场停车场204台（暂定，最终安装数量需满足停车位总数的30%）交流充电桩</w:t>
      </w:r>
      <w:r>
        <w:rPr>
          <w:rFonts w:hint="eastAsia" w:ascii="宋体" w:hAnsi="宋体" w:eastAsia="宋体" w:cs="宋体"/>
          <w:sz w:val="21"/>
          <w:szCs w:val="21"/>
        </w:rPr>
        <w:t>的</w:t>
      </w:r>
      <w:r>
        <w:rPr>
          <w:rFonts w:hint="eastAsia" w:ascii="宋体" w:hAnsi="宋体" w:eastAsia="宋体" w:cs="宋体"/>
          <w:sz w:val="21"/>
          <w:szCs w:val="21"/>
          <w:lang w:val="en-US" w:eastAsia="zh-CN"/>
        </w:rPr>
        <w:t>投资建设及运营</w:t>
      </w:r>
      <w:r>
        <w:rPr>
          <w:rFonts w:hint="eastAsia" w:ascii="宋体" w:hAnsi="宋体" w:eastAsia="宋体" w:cs="宋体"/>
          <w:sz w:val="21"/>
          <w:szCs w:val="21"/>
        </w:rPr>
        <w:t>，</w:t>
      </w:r>
      <w:r>
        <w:rPr>
          <w:rFonts w:hint="eastAsia" w:ascii="宋体" w:hAnsi="宋体" w:eastAsia="宋体" w:cs="宋体"/>
          <w:sz w:val="21"/>
          <w:szCs w:val="21"/>
          <w:lang w:val="en-US" w:eastAsia="zh-CN"/>
        </w:rPr>
        <w:t>投资界面包括</w:t>
      </w:r>
      <w:r>
        <w:rPr>
          <w:rFonts w:hint="eastAsia" w:ascii="宋体" w:hAnsi="宋体" w:eastAsia="宋体" w:cs="宋体"/>
          <w:sz w:val="21"/>
          <w:szCs w:val="21"/>
        </w:rPr>
        <w:t>但不限于从低压相变出线端</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含电表</w:t>
      </w:r>
      <w:r>
        <w:rPr>
          <w:rFonts w:hint="eastAsia" w:ascii="宋体" w:hAnsi="宋体" w:eastAsia="宋体" w:cs="宋体"/>
          <w:sz w:val="21"/>
          <w:szCs w:val="21"/>
          <w:lang w:eastAsia="zh-CN"/>
        </w:rPr>
        <w:t>）</w:t>
      </w:r>
      <w:r>
        <w:rPr>
          <w:rFonts w:hint="eastAsia" w:ascii="宋体" w:hAnsi="宋体" w:eastAsia="宋体" w:cs="宋体"/>
          <w:sz w:val="21"/>
          <w:szCs w:val="21"/>
        </w:rPr>
        <w:t>至充电桩末端的电缆、设备等采购安装的全部投资</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投资方</w:t>
      </w:r>
      <w:r>
        <w:rPr>
          <w:rFonts w:hint="eastAsia" w:ascii="宋体" w:hAnsi="宋体" w:eastAsia="宋体" w:cs="宋体"/>
          <w:sz w:val="21"/>
          <w:szCs w:val="21"/>
        </w:rPr>
        <w:t>拥有</w:t>
      </w:r>
      <w:r>
        <w:rPr>
          <w:rFonts w:hint="eastAsia" w:ascii="宋体" w:hAnsi="宋体" w:eastAsia="宋体" w:cs="宋体"/>
          <w:sz w:val="21"/>
          <w:szCs w:val="21"/>
          <w:lang w:val="en-US" w:eastAsia="zh-CN"/>
        </w:rPr>
        <w:t>所</w:t>
      </w:r>
      <w:r>
        <w:rPr>
          <w:rFonts w:hint="eastAsia" w:ascii="宋体" w:hAnsi="宋体" w:eastAsia="宋体" w:cs="宋体"/>
          <w:sz w:val="21"/>
          <w:szCs w:val="21"/>
        </w:rPr>
        <w:t>投资建设的电缆、充电桩及其他附属设施设备其产权和管理权</w:t>
      </w:r>
      <w:r>
        <w:rPr>
          <w:rFonts w:hint="eastAsia" w:ascii="宋体" w:hAnsi="宋体" w:eastAsia="宋体" w:cs="宋体"/>
          <w:sz w:val="21"/>
          <w:szCs w:val="21"/>
          <w:lang w:eastAsia="zh-CN"/>
        </w:rPr>
        <w:t>。</w:t>
      </w:r>
    </w:p>
    <w:p>
      <w:pPr>
        <w:spacing w:line="360" w:lineRule="auto"/>
        <w:ind w:firstLine="422" w:firstLineChars="200"/>
        <w:jc w:val="left"/>
        <w:rPr>
          <w:rFonts w:hint="eastAsia" w:ascii="宋体" w:hAnsi="宋体" w:eastAsia="宋体" w:cs="宋体"/>
          <w:sz w:val="21"/>
          <w:szCs w:val="21"/>
        </w:rPr>
      </w:pPr>
      <w:r>
        <w:rPr>
          <w:rFonts w:hint="eastAsia" w:ascii="宋体" w:hAnsi="宋体" w:eastAsia="宋体" w:cs="宋体"/>
          <w:b/>
          <w:bCs/>
          <w:sz w:val="21"/>
          <w:szCs w:val="21"/>
        </w:rPr>
        <w:t>工期：</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4</w:t>
      </w:r>
      <w:r>
        <w:rPr>
          <w:rFonts w:hint="eastAsia" w:ascii="宋体" w:hAnsi="宋体" w:eastAsia="宋体" w:cs="宋体"/>
          <w:sz w:val="21"/>
          <w:szCs w:val="21"/>
          <w:u w:val="single"/>
        </w:rPr>
        <w:t>5日历天</w:t>
      </w:r>
      <w:r>
        <w:rPr>
          <w:rFonts w:hint="eastAsia" w:ascii="宋体" w:hAnsi="宋体" w:eastAsia="宋体" w:cs="宋体"/>
          <w:sz w:val="21"/>
          <w:szCs w:val="21"/>
          <w:u w:val="none"/>
        </w:rPr>
        <w:t xml:space="preserve">  </w:t>
      </w:r>
      <w:r>
        <w:rPr>
          <w:rFonts w:hint="eastAsia" w:ascii="宋体" w:hAnsi="宋体" w:eastAsia="宋体" w:cs="宋体"/>
          <w:sz w:val="21"/>
          <w:szCs w:val="21"/>
          <w:u w:val="none"/>
          <w:lang w:eastAsia="zh-CN"/>
        </w:rPr>
        <w:t>（</w:t>
      </w:r>
      <w:r>
        <w:rPr>
          <w:rFonts w:hint="eastAsia" w:ascii="宋体" w:hAnsi="宋体" w:eastAsia="宋体" w:cs="宋体"/>
          <w:sz w:val="21"/>
          <w:szCs w:val="21"/>
          <w:u w:val="none"/>
          <w:lang w:val="en-US" w:eastAsia="zh-CN"/>
        </w:rPr>
        <w:t>必须在2023年9月28日前完成全部充电桩的安装</w:t>
      </w:r>
      <w:r>
        <w:rPr>
          <w:rFonts w:hint="eastAsia" w:ascii="宋体" w:hAnsi="宋体" w:eastAsia="宋体" w:cs="宋体"/>
          <w:sz w:val="21"/>
          <w:szCs w:val="21"/>
          <w:u w:val="none"/>
          <w:lang w:eastAsia="zh-CN"/>
        </w:rPr>
        <w:t>）</w:t>
      </w:r>
      <w:r>
        <w:rPr>
          <w:rFonts w:hint="eastAsia" w:ascii="宋体" w:hAnsi="宋体" w:eastAsia="宋体" w:cs="宋体"/>
          <w:sz w:val="21"/>
          <w:szCs w:val="21"/>
        </w:rPr>
        <w:t>；</w:t>
      </w:r>
    </w:p>
    <w:p>
      <w:pPr>
        <w:spacing w:line="360" w:lineRule="auto"/>
        <w:ind w:firstLine="422" w:firstLineChars="200"/>
        <w:jc w:val="left"/>
        <w:rPr>
          <w:rFonts w:hint="eastAsia" w:ascii="宋体" w:hAnsi="宋体" w:eastAsia="宋体" w:cs="宋体"/>
          <w:sz w:val="21"/>
          <w:szCs w:val="21"/>
        </w:rPr>
      </w:pPr>
      <w:r>
        <w:rPr>
          <w:rFonts w:hint="eastAsia" w:ascii="宋体" w:hAnsi="宋体" w:eastAsia="宋体" w:cs="宋体"/>
          <w:b/>
          <w:bCs/>
          <w:sz w:val="21"/>
          <w:szCs w:val="21"/>
        </w:rPr>
        <w:t>质量标准：</w:t>
      </w:r>
      <w:r>
        <w:rPr>
          <w:rFonts w:hint="eastAsia" w:ascii="宋体" w:hAnsi="宋体" w:eastAsia="宋体" w:cs="宋体"/>
          <w:sz w:val="21"/>
          <w:szCs w:val="21"/>
          <w:u w:val="single"/>
        </w:rPr>
        <w:t xml:space="preserve"> 合 格 </w:t>
      </w:r>
      <w:r>
        <w:rPr>
          <w:rFonts w:hint="eastAsia" w:ascii="宋体" w:hAnsi="宋体" w:eastAsia="宋体" w:cs="宋体"/>
          <w:sz w:val="21"/>
          <w:szCs w:val="21"/>
        </w:rPr>
        <w:t>；</w:t>
      </w:r>
    </w:p>
    <w:p>
      <w:pPr>
        <w:spacing w:line="360" w:lineRule="auto"/>
        <w:outlineLvl w:val="1"/>
        <w:rPr>
          <w:rFonts w:ascii="宋体" w:hAnsi="宋体" w:eastAsia="宋体" w:cs="宋体"/>
          <w:b/>
          <w:bCs/>
          <w:sz w:val="21"/>
          <w:szCs w:val="21"/>
        </w:rPr>
      </w:pPr>
      <w:bookmarkStart w:id="7" w:name="_Toc17156"/>
      <w:bookmarkStart w:id="8" w:name="_Toc7916"/>
      <w:r>
        <w:rPr>
          <w:rFonts w:hint="eastAsia" w:ascii="宋体" w:hAnsi="宋体" w:eastAsia="宋体" w:cs="宋体"/>
          <w:b/>
          <w:bCs/>
          <w:sz w:val="21"/>
          <w:szCs w:val="21"/>
        </w:rPr>
        <w:t>三、</w:t>
      </w:r>
      <w:r>
        <w:rPr>
          <w:rFonts w:hint="eastAsia" w:ascii="宋体" w:hAnsi="宋体" w:eastAsia="宋体" w:cs="宋体"/>
          <w:b/>
          <w:bCs/>
          <w:sz w:val="21"/>
          <w:szCs w:val="21"/>
          <w:lang w:val="en-US" w:eastAsia="zh-CN"/>
        </w:rPr>
        <w:t>遴选</w:t>
      </w:r>
      <w:r>
        <w:rPr>
          <w:rFonts w:hint="eastAsia" w:ascii="宋体" w:hAnsi="宋体" w:eastAsia="宋体" w:cs="宋体"/>
          <w:b/>
          <w:bCs/>
          <w:sz w:val="21"/>
          <w:szCs w:val="21"/>
        </w:rPr>
        <w:t>方式：竞争性谈判</w:t>
      </w:r>
      <w:bookmarkEnd w:id="7"/>
      <w:bookmarkEnd w:id="8"/>
    </w:p>
    <w:p>
      <w:pPr>
        <w:spacing w:line="360" w:lineRule="auto"/>
        <w:jc w:val="left"/>
        <w:outlineLvl w:val="1"/>
        <w:rPr>
          <w:rFonts w:hint="eastAsia" w:ascii="宋体" w:hAnsi="宋体" w:eastAsia="宋体" w:cs="宋体"/>
          <w:b/>
          <w:bCs/>
          <w:sz w:val="21"/>
          <w:szCs w:val="21"/>
        </w:rPr>
      </w:pPr>
      <w:bookmarkStart w:id="9" w:name="_Toc4711"/>
      <w:bookmarkStart w:id="10" w:name="_Toc32302"/>
      <w:r>
        <w:rPr>
          <w:rFonts w:hint="eastAsia" w:ascii="宋体" w:hAnsi="宋体" w:eastAsia="宋体" w:cs="宋体"/>
          <w:b/>
          <w:bCs/>
          <w:sz w:val="21"/>
          <w:szCs w:val="21"/>
        </w:rPr>
        <w:t>四、竞标单位资格要求</w:t>
      </w:r>
      <w:bookmarkEnd w:id="9"/>
      <w:bookmarkEnd w:id="10"/>
    </w:p>
    <w:p>
      <w:pPr>
        <w:spacing w:line="360" w:lineRule="auto"/>
        <w:ind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rPr>
        <w:t>（一）必须为中华人民共和国合法注册的独立法人或者其他组织</w:t>
      </w:r>
      <w:r>
        <w:rPr>
          <w:rFonts w:hint="eastAsia" w:ascii="宋体" w:hAnsi="宋体" w:eastAsia="宋体" w:cs="宋体"/>
          <w:sz w:val="21"/>
          <w:szCs w:val="21"/>
          <w:lang w:eastAsia="zh-CN"/>
        </w:rPr>
        <w:t>；</w:t>
      </w:r>
    </w:p>
    <w:p>
      <w:pPr>
        <w:spacing w:line="360" w:lineRule="auto"/>
        <w:ind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二</w:t>
      </w:r>
      <w:r>
        <w:rPr>
          <w:rFonts w:hint="eastAsia" w:ascii="宋体" w:hAnsi="宋体" w:eastAsia="宋体" w:cs="宋体"/>
          <w:sz w:val="21"/>
          <w:szCs w:val="21"/>
          <w:lang w:eastAsia="zh-CN"/>
        </w:rPr>
        <w:t>）</w:t>
      </w:r>
      <w:r>
        <w:rPr>
          <w:rFonts w:hint="eastAsia" w:ascii="宋体" w:hAnsi="宋体" w:eastAsia="宋体" w:cs="宋体"/>
          <w:sz w:val="21"/>
          <w:szCs w:val="21"/>
        </w:rPr>
        <w:t>必须为所投品牌设备的制造商或</w:t>
      </w:r>
      <w:r>
        <w:rPr>
          <w:rFonts w:hint="eastAsia" w:ascii="宋体" w:hAnsi="宋体" w:eastAsia="宋体" w:cs="宋体"/>
          <w:sz w:val="21"/>
          <w:szCs w:val="21"/>
          <w:lang w:val="en-US" w:eastAsia="zh-CN"/>
        </w:rPr>
        <w:t>提供</w:t>
      </w:r>
      <w:r>
        <w:rPr>
          <w:rFonts w:hint="eastAsia" w:ascii="宋体" w:hAnsi="宋体" w:eastAsia="宋体" w:cs="宋体"/>
          <w:sz w:val="21"/>
          <w:szCs w:val="21"/>
        </w:rPr>
        <w:t>品牌厂商授权函</w:t>
      </w:r>
      <w:r>
        <w:rPr>
          <w:rFonts w:hint="eastAsia" w:ascii="宋体" w:hAnsi="宋体" w:eastAsia="宋体" w:cs="宋体"/>
          <w:sz w:val="21"/>
          <w:szCs w:val="21"/>
          <w:lang w:val="en-US" w:eastAsia="zh-CN"/>
        </w:rPr>
        <w:t>文件</w:t>
      </w:r>
      <w:r>
        <w:rPr>
          <w:rFonts w:hint="eastAsia" w:ascii="宋体" w:hAnsi="宋体" w:eastAsia="宋体" w:cs="宋体"/>
          <w:sz w:val="21"/>
          <w:szCs w:val="21"/>
          <w:lang w:eastAsia="zh-CN"/>
        </w:rPr>
        <w:t>；</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三</w:t>
      </w:r>
      <w:r>
        <w:rPr>
          <w:rFonts w:hint="eastAsia" w:ascii="宋体" w:hAnsi="宋体" w:eastAsia="宋体" w:cs="宋体"/>
          <w:sz w:val="21"/>
          <w:szCs w:val="21"/>
          <w:lang w:eastAsia="zh-CN"/>
        </w:rPr>
        <w:t>）</w:t>
      </w:r>
      <w:r>
        <w:rPr>
          <w:rFonts w:hint="eastAsia" w:ascii="宋体" w:hAnsi="宋体" w:eastAsia="宋体" w:cs="宋体"/>
          <w:sz w:val="21"/>
          <w:szCs w:val="21"/>
        </w:rPr>
        <w:t>近3年在深圳市具有充电桩采购及安装工程</w:t>
      </w:r>
      <w:r>
        <w:rPr>
          <w:rFonts w:hint="eastAsia" w:ascii="宋体" w:hAnsi="宋体" w:eastAsia="宋体" w:cs="宋体"/>
          <w:sz w:val="21"/>
          <w:szCs w:val="21"/>
          <w:lang w:val="en-US" w:eastAsia="zh-CN"/>
        </w:rPr>
        <w:t>3</w:t>
      </w:r>
      <w:r>
        <w:rPr>
          <w:rFonts w:hint="eastAsia" w:ascii="宋体" w:hAnsi="宋体" w:eastAsia="宋体" w:cs="宋体"/>
          <w:sz w:val="21"/>
          <w:szCs w:val="21"/>
        </w:rPr>
        <w:t>项业绩及以上</w:t>
      </w:r>
      <w:r>
        <w:rPr>
          <w:rFonts w:hint="eastAsia" w:ascii="宋体" w:hAnsi="宋体" w:eastAsia="宋体" w:cs="宋体"/>
          <w:sz w:val="21"/>
          <w:szCs w:val="21"/>
          <w:lang w:eastAsia="zh-CN"/>
        </w:rPr>
        <w:t>；</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四</w:t>
      </w:r>
      <w:r>
        <w:rPr>
          <w:rFonts w:hint="eastAsia" w:ascii="宋体" w:hAnsi="宋体" w:eastAsia="宋体" w:cs="宋体"/>
          <w:sz w:val="21"/>
          <w:szCs w:val="21"/>
          <w:lang w:eastAsia="zh-CN"/>
        </w:rPr>
        <w:t>）</w:t>
      </w:r>
      <w:r>
        <w:rPr>
          <w:rFonts w:hint="eastAsia" w:ascii="宋体" w:hAnsi="宋体" w:eastAsia="宋体" w:cs="宋体"/>
          <w:sz w:val="21"/>
          <w:szCs w:val="21"/>
        </w:rPr>
        <w:t>本次招标不接受联合体投标，中标后不得分包、转包。</w:t>
      </w:r>
    </w:p>
    <w:p>
      <w:pPr>
        <w:pStyle w:val="6"/>
        <w:spacing w:line="360" w:lineRule="auto"/>
        <w:ind w:firstLine="0" w:firstLineChars="0"/>
        <w:jc w:val="left"/>
        <w:outlineLvl w:val="1"/>
        <w:rPr>
          <w:rFonts w:hint="eastAsia" w:ascii="宋体" w:hAnsi="宋体" w:eastAsia="宋体" w:cs="宋体"/>
          <w:b/>
          <w:sz w:val="21"/>
          <w:szCs w:val="21"/>
        </w:rPr>
      </w:pPr>
      <w:bookmarkStart w:id="11" w:name="_Toc28628"/>
      <w:bookmarkStart w:id="12" w:name="_Toc24272"/>
      <w:r>
        <w:rPr>
          <w:rFonts w:hint="eastAsia" w:ascii="宋体" w:hAnsi="宋体" w:eastAsia="宋体" w:cs="宋体"/>
          <w:b/>
          <w:sz w:val="21"/>
          <w:szCs w:val="21"/>
        </w:rPr>
        <w:t>五、报名信息：</w:t>
      </w:r>
      <w:bookmarkEnd w:id="11"/>
      <w:bookmarkEnd w:id="12"/>
    </w:p>
    <w:p>
      <w:pPr>
        <w:spacing w:line="360" w:lineRule="auto"/>
        <w:ind w:firstLine="315" w:firstLineChars="15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（一）谈判</w:t>
      </w:r>
      <w:r>
        <w:rPr>
          <w:rFonts w:hint="eastAsia" w:ascii="宋体" w:hAnsi="宋体" w:eastAsia="宋体" w:cs="宋体"/>
          <w:sz w:val="21"/>
          <w:szCs w:val="21"/>
          <w:highlight w:val="none"/>
          <w:lang w:val="en-US" w:eastAsia="zh-CN"/>
        </w:rPr>
        <w:t>文件</w:t>
      </w:r>
      <w:r>
        <w:rPr>
          <w:rFonts w:hint="eastAsia" w:ascii="宋体" w:hAnsi="宋体" w:eastAsia="宋体" w:cs="宋体"/>
          <w:sz w:val="21"/>
          <w:szCs w:val="21"/>
          <w:highlight w:val="none"/>
        </w:rPr>
        <w:t>免费发售。报名时间：202</w:t>
      </w: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lang w:val="en-US" w:eastAsia="zh-CN"/>
        </w:rPr>
        <w:t>8</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u w:val="single"/>
          <w:lang w:val="en-US" w:eastAsia="zh-CN"/>
        </w:rPr>
        <w:t>1</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日—202</w:t>
      </w: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u w:val="single"/>
          <w:lang w:val="en-US" w:eastAsia="zh-CN"/>
        </w:rPr>
        <w:t>8</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u w:val="single"/>
          <w:lang w:val="en-US" w:eastAsia="zh-CN"/>
        </w:rPr>
        <w:t>7</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日，</w:t>
      </w:r>
      <w:r>
        <w:rPr>
          <w:rFonts w:hint="eastAsia" w:ascii="宋体" w:hAnsi="宋体" w:eastAsia="宋体" w:cs="宋体"/>
          <w:sz w:val="21"/>
          <w:szCs w:val="21"/>
          <w:highlight w:val="none"/>
          <w:lang w:val="en-US" w:eastAsia="zh-CN"/>
        </w:rPr>
        <w:t>9</w:t>
      </w:r>
      <w:r>
        <w:rPr>
          <w:rFonts w:hint="eastAsia" w:ascii="宋体" w:hAnsi="宋体" w:eastAsia="宋体" w:cs="宋体"/>
          <w:sz w:val="21"/>
          <w:szCs w:val="21"/>
          <w:highlight w:val="none"/>
        </w:rPr>
        <w:t>：00—1</w:t>
      </w: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：00， 14：00—1</w:t>
      </w:r>
      <w:r>
        <w:rPr>
          <w:rFonts w:hint="eastAsia" w:ascii="宋体" w:hAnsi="宋体" w:eastAsia="宋体" w:cs="宋体"/>
          <w:sz w:val="21"/>
          <w:szCs w:val="21"/>
          <w:highlight w:val="none"/>
          <w:lang w:val="en-US" w:eastAsia="zh-CN"/>
        </w:rPr>
        <w:t>8</w:t>
      </w:r>
      <w:r>
        <w:rPr>
          <w:rFonts w:hint="eastAsia" w:ascii="宋体" w:hAnsi="宋体" w:eastAsia="宋体" w:cs="宋体"/>
          <w:sz w:val="21"/>
          <w:szCs w:val="21"/>
          <w:highlight w:val="none"/>
        </w:rPr>
        <w:t>：00（节假日除外）。</w:t>
      </w:r>
    </w:p>
    <w:p>
      <w:pPr>
        <w:spacing w:line="360" w:lineRule="auto"/>
        <w:ind w:firstLine="315" w:firstLineChars="15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（二）报名地点：</w:t>
      </w:r>
      <w:r>
        <w:rPr>
          <w:rFonts w:hint="eastAsia" w:ascii="宋体" w:hAnsi="宋体" w:eastAsia="宋体" w:cs="宋体"/>
          <w:sz w:val="21"/>
          <w:szCs w:val="21"/>
          <w:highlight w:val="none"/>
          <w:u w:val="single"/>
        </w:rPr>
        <w:t>深圳市前海合作区</w:t>
      </w:r>
      <w:r>
        <w:rPr>
          <w:rFonts w:hint="eastAsia" w:ascii="宋体" w:hAnsi="宋体" w:eastAsia="宋体" w:cs="宋体"/>
          <w:sz w:val="21"/>
          <w:szCs w:val="21"/>
          <w:highlight w:val="none"/>
          <w:u w:val="single"/>
          <w:lang w:val="en-US" w:eastAsia="zh-CN"/>
        </w:rPr>
        <w:t>前海梦工场北区C栋402、403</w:t>
      </w:r>
      <w:r>
        <w:rPr>
          <w:rFonts w:hint="eastAsia" w:ascii="宋体" w:hAnsi="宋体" w:eastAsia="宋体" w:cs="宋体"/>
          <w:sz w:val="21"/>
          <w:szCs w:val="21"/>
          <w:highlight w:val="none"/>
        </w:rPr>
        <w:t>。</w:t>
      </w:r>
    </w:p>
    <w:p>
      <w:pPr>
        <w:spacing w:line="360" w:lineRule="auto"/>
        <w:ind w:firstLine="336" w:firstLineChars="16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取得谈判文件需提交以下材料：</w:t>
      </w:r>
    </w:p>
    <w:p>
      <w:pPr>
        <w:spacing w:line="360" w:lineRule="auto"/>
        <w:ind w:firstLine="336" w:firstLineChars="16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1.法定代表人</w:t>
      </w:r>
      <w:r>
        <w:rPr>
          <w:rFonts w:hint="eastAsia" w:ascii="宋体" w:hAnsi="宋体" w:eastAsia="宋体" w:cs="宋体"/>
          <w:sz w:val="21"/>
          <w:szCs w:val="21"/>
          <w:highlight w:val="none"/>
          <w:lang w:val="en-US" w:eastAsia="zh-CN"/>
        </w:rPr>
        <w:t>证明及</w:t>
      </w:r>
      <w:r>
        <w:rPr>
          <w:rFonts w:hint="eastAsia" w:ascii="宋体" w:hAnsi="宋体" w:eastAsia="宋体" w:cs="宋体"/>
          <w:sz w:val="21"/>
          <w:szCs w:val="21"/>
          <w:highlight w:val="none"/>
        </w:rPr>
        <w:t>针对本项目的授权委托书（原件）；</w:t>
      </w:r>
    </w:p>
    <w:p>
      <w:pPr>
        <w:spacing w:line="360" w:lineRule="auto"/>
        <w:ind w:firstLine="336" w:firstLineChars="16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2.企业法人营业执照</w:t>
      </w:r>
      <w:r>
        <w:rPr>
          <w:rFonts w:hint="eastAsia" w:ascii="宋体" w:hAnsi="宋体" w:eastAsia="宋体" w:cs="宋体"/>
          <w:sz w:val="21"/>
          <w:szCs w:val="21"/>
          <w:highlight w:val="none"/>
          <w:lang w:val="en-US" w:eastAsia="zh-CN"/>
        </w:rPr>
        <w:t>复印件</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加盖单位公章</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w:t>
      </w:r>
    </w:p>
    <w:p>
      <w:pPr>
        <w:spacing w:line="360" w:lineRule="auto"/>
        <w:ind w:firstLine="336" w:firstLineChars="16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3.其他相关资质证书原件或复印件加盖单位公章；</w:t>
      </w:r>
    </w:p>
    <w:p>
      <w:pPr>
        <w:spacing w:line="360" w:lineRule="auto"/>
        <w:ind w:firstLine="315" w:firstLineChars="150"/>
        <w:jc w:val="left"/>
        <w:rPr>
          <w:rFonts w:hint="eastAsia" w:ascii="宋体" w:hAnsi="宋体" w:eastAsia="宋体" w:cs="宋体"/>
          <w:sz w:val="21"/>
          <w:szCs w:val="21"/>
          <w:highlight w:val="none"/>
          <w:u w:val="single"/>
          <w:lang w:eastAsia="zh-CN"/>
        </w:rPr>
      </w:pPr>
      <w:r>
        <w:rPr>
          <w:rFonts w:hint="eastAsia" w:ascii="宋体" w:hAnsi="宋体" w:eastAsia="宋体" w:cs="宋体"/>
          <w:sz w:val="21"/>
          <w:szCs w:val="21"/>
          <w:highlight w:val="none"/>
        </w:rPr>
        <w:t>（三）联系人：</w:t>
      </w:r>
      <w:r>
        <w:rPr>
          <w:rFonts w:hint="eastAsia" w:ascii="宋体" w:hAnsi="宋体" w:eastAsia="宋体" w:cs="宋体"/>
          <w:sz w:val="21"/>
          <w:szCs w:val="21"/>
          <w:highlight w:val="none"/>
          <w:u w:val="single"/>
        </w:rPr>
        <w:t xml:space="preserve">   申美华 </w:t>
      </w:r>
      <w:r>
        <w:rPr>
          <w:rFonts w:hint="eastAsia" w:ascii="宋体" w:hAnsi="宋体" w:eastAsia="宋体" w:cs="宋体"/>
          <w:sz w:val="21"/>
          <w:szCs w:val="21"/>
          <w:highlight w:val="none"/>
        </w:rPr>
        <w:t xml:space="preserve"> 联系</w:t>
      </w:r>
      <w:r>
        <w:rPr>
          <w:rFonts w:hint="eastAsia" w:ascii="宋体" w:hAnsi="宋体" w:eastAsia="宋体" w:cs="宋体"/>
          <w:sz w:val="21"/>
          <w:szCs w:val="21"/>
          <w:highlight w:val="none"/>
          <w:lang w:val="en-US" w:eastAsia="zh-CN"/>
        </w:rPr>
        <w:t>方式：</w:t>
      </w:r>
      <w:r>
        <w:rPr>
          <w:rFonts w:hint="eastAsia" w:ascii="宋体" w:hAnsi="宋体" w:eastAsia="宋体" w:cs="宋体"/>
          <w:sz w:val="21"/>
          <w:szCs w:val="21"/>
          <w:highlight w:val="none"/>
        </w:rPr>
        <w:t>电话</w:t>
      </w:r>
      <w:r>
        <w:rPr>
          <w:rFonts w:hint="eastAsia" w:ascii="宋体" w:hAnsi="宋体" w:eastAsia="宋体" w:cs="宋体"/>
          <w:sz w:val="21"/>
          <w:szCs w:val="21"/>
          <w:highlight w:val="none"/>
          <w:u w:val="single"/>
        </w:rPr>
        <w:t xml:space="preserve"> 0755-88991815 </w:t>
      </w:r>
      <w:r>
        <w:rPr>
          <w:rFonts w:hint="eastAsia" w:ascii="宋体" w:hAnsi="宋体" w:eastAsia="宋体" w:cs="宋体"/>
          <w:sz w:val="21"/>
          <w:szCs w:val="21"/>
          <w:highlight w:val="none"/>
          <w:u w:val="single"/>
          <w:lang w:eastAsia="zh-CN"/>
        </w:rPr>
        <w:t>，</w:t>
      </w:r>
      <w:r>
        <w:rPr>
          <w:rFonts w:hint="eastAsia" w:ascii="宋体" w:hAnsi="宋体" w:eastAsia="宋体" w:cs="宋体"/>
          <w:sz w:val="21"/>
          <w:szCs w:val="21"/>
          <w:highlight w:val="none"/>
          <w:u w:val="single"/>
          <w:lang w:val="en-US" w:eastAsia="zh-CN"/>
        </w:rPr>
        <w:t xml:space="preserve">邮箱 </w:t>
      </w:r>
      <w:r>
        <w:rPr>
          <w:rFonts w:hint="eastAsia" w:ascii="宋体" w:hAnsi="宋体" w:eastAsia="宋体" w:cs="宋体"/>
          <w:sz w:val="21"/>
          <w:szCs w:val="21"/>
          <w:highlight w:val="none"/>
          <w:u w:val="single"/>
          <w:lang w:eastAsia="zh-CN"/>
        </w:rPr>
        <w:t>shenmh@qhspom.com</w:t>
      </w:r>
    </w:p>
    <w:p>
      <w:pPr>
        <w:spacing w:line="360" w:lineRule="auto"/>
        <w:jc w:val="left"/>
        <w:outlineLvl w:val="1"/>
        <w:rPr>
          <w:rFonts w:hint="eastAsia" w:ascii="宋体" w:hAnsi="宋体" w:eastAsia="宋体" w:cs="宋体"/>
          <w:b/>
          <w:sz w:val="21"/>
          <w:szCs w:val="21"/>
        </w:rPr>
      </w:pPr>
      <w:bookmarkStart w:id="13" w:name="_Toc6055"/>
      <w:bookmarkStart w:id="14" w:name="_Toc23868"/>
      <w:r>
        <w:rPr>
          <w:rFonts w:hint="eastAsia" w:ascii="宋体" w:hAnsi="宋体" w:eastAsia="宋体" w:cs="宋体"/>
          <w:b/>
          <w:sz w:val="21"/>
          <w:szCs w:val="21"/>
        </w:rPr>
        <w:t>六、谈判文件接收信息</w:t>
      </w:r>
      <w:bookmarkEnd w:id="13"/>
      <w:bookmarkEnd w:id="14"/>
    </w:p>
    <w:p>
      <w:pPr>
        <w:spacing w:line="360" w:lineRule="auto"/>
        <w:ind w:firstLine="420" w:firstLineChars="200"/>
        <w:jc w:val="left"/>
        <w:rPr>
          <w:rFonts w:hint="eastAsia" w:ascii="宋体" w:hAnsi="宋体" w:eastAsia="宋体" w:cs="宋体"/>
          <w:sz w:val="21"/>
          <w:szCs w:val="21"/>
          <w:u w:val="single"/>
        </w:rPr>
      </w:pPr>
      <w:r>
        <w:rPr>
          <w:rFonts w:hint="eastAsia" w:ascii="宋体" w:hAnsi="宋体" w:eastAsia="宋体" w:cs="宋体"/>
          <w:sz w:val="21"/>
          <w:szCs w:val="21"/>
        </w:rPr>
        <w:t>（一）谈判文件接收截止时间：202</w:t>
      </w:r>
      <w:r>
        <w:rPr>
          <w:rFonts w:hint="eastAsia" w:ascii="宋体" w:hAnsi="宋体" w:eastAsia="宋体" w:cs="宋体"/>
          <w:sz w:val="21"/>
          <w:szCs w:val="21"/>
          <w:lang w:val="en-US" w:eastAsia="zh-CN"/>
        </w:rPr>
        <w:t>3</w:t>
      </w:r>
      <w:r>
        <w:rPr>
          <w:rFonts w:hint="eastAsia" w:ascii="宋体" w:hAnsi="宋体" w:eastAsia="宋体" w:cs="宋体"/>
          <w:sz w:val="21"/>
          <w:szCs w:val="21"/>
        </w:rPr>
        <w:t>年</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8</w:t>
      </w:r>
      <w:r>
        <w:rPr>
          <w:rFonts w:hint="eastAsia" w:ascii="宋体" w:hAnsi="宋体" w:eastAsia="宋体" w:cs="宋体"/>
          <w:sz w:val="21"/>
          <w:szCs w:val="21"/>
          <w:u w:val="single"/>
        </w:rPr>
        <w:t xml:space="preserve"> </w:t>
      </w:r>
      <w:r>
        <w:rPr>
          <w:rFonts w:hint="eastAsia" w:ascii="宋体" w:hAnsi="宋体" w:eastAsia="宋体" w:cs="宋体"/>
          <w:sz w:val="21"/>
          <w:szCs w:val="21"/>
        </w:rPr>
        <w:t>月</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8</w:t>
      </w:r>
      <w:r>
        <w:rPr>
          <w:rFonts w:hint="eastAsia" w:ascii="宋体" w:hAnsi="宋体" w:eastAsia="宋体" w:cs="宋体"/>
          <w:sz w:val="21"/>
          <w:szCs w:val="21"/>
          <w:u w:val="single"/>
        </w:rPr>
        <w:t xml:space="preserve"> </w:t>
      </w:r>
      <w:r>
        <w:rPr>
          <w:rFonts w:hint="eastAsia" w:ascii="宋体" w:hAnsi="宋体" w:eastAsia="宋体" w:cs="宋体"/>
          <w:sz w:val="21"/>
          <w:szCs w:val="21"/>
        </w:rPr>
        <w:t>日</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10</w:t>
      </w:r>
      <w:r>
        <w:rPr>
          <w:rFonts w:hint="eastAsia" w:ascii="宋体" w:hAnsi="宋体" w:eastAsia="宋体" w:cs="宋体"/>
          <w:sz w:val="21"/>
          <w:szCs w:val="21"/>
          <w:u w:val="single"/>
        </w:rPr>
        <w:t xml:space="preserve">：00 </w:t>
      </w:r>
    </w:p>
    <w:p>
      <w:pPr>
        <w:spacing w:line="360" w:lineRule="auto"/>
        <w:ind w:firstLine="420" w:firstLineChars="200"/>
        <w:jc w:val="left"/>
        <w:rPr>
          <w:rFonts w:hint="eastAsia" w:ascii="宋体" w:hAnsi="宋体" w:eastAsia="宋体" w:cs="宋体"/>
          <w:sz w:val="21"/>
          <w:szCs w:val="21"/>
          <w:u w:val="single"/>
        </w:rPr>
      </w:pPr>
      <w:r>
        <w:rPr>
          <w:rFonts w:hint="eastAsia" w:ascii="宋体" w:hAnsi="宋体" w:eastAsia="宋体" w:cs="宋体"/>
          <w:sz w:val="21"/>
          <w:szCs w:val="21"/>
        </w:rPr>
        <w:t>（二）谈判文件接收地点：</w:t>
      </w:r>
      <w:r>
        <w:rPr>
          <w:rFonts w:hint="eastAsia" w:ascii="宋体" w:hAnsi="宋体" w:eastAsia="宋体" w:cs="宋体"/>
          <w:b/>
          <w:sz w:val="21"/>
          <w:szCs w:val="21"/>
          <w:u w:val="single"/>
        </w:rPr>
        <w:t>深圳市前海合作区前海梦工场北区C栋402、403</w:t>
      </w:r>
    </w:p>
    <w:p>
      <w:pPr>
        <w:spacing w:line="360" w:lineRule="auto"/>
        <w:ind w:firstLine="420" w:firstLineChars="200"/>
        <w:jc w:val="left"/>
        <w:rPr>
          <w:rFonts w:hint="default"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三</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竞争性谈判时间：</w:t>
      </w:r>
      <w:r>
        <w:rPr>
          <w:rFonts w:hint="eastAsia" w:ascii="宋体" w:hAnsi="宋体" w:eastAsia="宋体" w:cs="宋体"/>
          <w:sz w:val="21"/>
          <w:szCs w:val="21"/>
        </w:rPr>
        <w:t>202</w:t>
      </w:r>
      <w:r>
        <w:rPr>
          <w:rFonts w:hint="eastAsia" w:ascii="宋体" w:hAnsi="宋体" w:eastAsia="宋体" w:cs="宋体"/>
          <w:sz w:val="21"/>
          <w:szCs w:val="21"/>
          <w:lang w:val="en-US" w:eastAsia="zh-CN"/>
        </w:rPr>
        <w:t>3</w:t>
      </w:r>
      <w:r>
        <w:rPr>
          <w:rFonts w:hint="eastAsia" w:ascii="宋体" w:hAnsi="宋体" w:eastAsia="宋体" w:cs="宋体"/>
          <w:sz w:val="21"/>
          <w:szCs w:val="21"/>
        </w:rPr>
        <w:t>年</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8</w:t>
      </w:r>
      <w:r>
        <w:rPr>
          <w:rFonts w:hint="eastAsia" w:ascii="宋体" w:hAnsi="宋体" w:eastAsia="宋体" w:cs="宋体"/>
          <w:sz w:val="21"/>
          <w:szCs w:val="21"/>
          <w:u w:val="single"/>
        </w:rPr>
        <w:t xml:space="preserve"> </w:t>
      </w:r>
      <w:r>
        <w:rPr>
          <w:rFonts w:hint="eastAsia" w:ascii="宋体" w:hAnsi="宋体" w:eastAsia="宋体" w:cs="宋体"/>
          <w:sz w:val="21"/>
          <w:szCs w:val="21"/>
        </w:rPr>
        <w:t>月</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8</w:t>
      </w:r>
      <w:r>
        <w:rPr>
          <w:rFonts w:hint="eastAsia" w:ascii="宋体" w:hAnsi="宋体" w:eastAsia="宋体" w:cs="宋体"/>
          <w:sz w:val="21"/>
          <w:szCs w:val="21"/>
          <w:u w:val="single"/>
        </w:rPr>
        <w:t xml:space="preserve"> </w:t>
      </w:r>
      <w:r>
        <w:rPr>
          <w:rFonts w:hint="eastAsia" w:ascii="宋体" w:hAnsi="宋体" w:eastAsia="宋体" w:cs="宋体"/>
          <w:sz w:val="21"/>
          <w:szCs w:val="21"/>
        </w:rPr>
        <w:t>日</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10</w:t>
      </w:r>
      <w:r>
        <w:rPr>
          <w:rFonts w:hint="eastAsia" w:ascii="宋体" w:hAnsi="宋体" w:eastAsia="宋体" w:cs="宋体"/>
          <w:sz w:val="21"/>
          <w:szCs w:val="21"/>
          <w:u w:val="single"/>
        </w:rPr>
        <w:t xml:space="preserve">：00 </w:t>
      </w:r>
    </w:p>
    <w:p>
      <w:pPr>
        <w:spacing w:line="360" w:lineRule="auto"/>
        <w:jc w:val="left"/>
        <w:rPr>
          <w:rFonts w:hint="eastAsia" w:ascii="宋体" w:hAnsi="宋体" w:eastAsia="宋体" w:cs="宋体"/>
          <w:sz w:val="21"/>
          <w:szCs w:val="21"/>
        </w:rPr>
      </w:pPr>
    </w:p>
    <w:p>
      <w:pPr>
        <w:spacing w:line="360" w:lineRule="auto"/>
        <w:ind w:firstLine="5250" w:firstLineChars="2500"/>
        <w:jc w:val="left"/>
        <w:rPr>
          <w:rFonts w:hint="eastAsia" w:ascii="宋体" w:hAnsi="宋体" w:eastAsia="宋体" w:cs="宋体"/>
          <w:sz w:val="21"/>
          <w:szCs w:val="21"/>
        </w:rPr>
      </w:pPr>
      <w:r>
        <w:rPr>
          <w:rFonts w:hint="eastAsia" w:ascii="宋体" w:hAnsi="宋体" w:eastAsia="宋体" w:cs="宋体"/>
          <w:sz w:val="21"/>
          <w:szCs w:val="21"/>
        </w:rPr>
        <w:t>深圳市前海智慧</w:t>
      </w:r>
      <w:r>
        <w:rPr>
          <w:rFonts w:hint="eastAsia" w:ascii="宋体" w:hAnsi="宋体" w:eastAsia="宋体" w:cs="宋体"/>
          <w:sz w:val="21"/>
          <w:szCs w:val="21"/>
          <w:lang w:val="en-US" w:eastAsia="zh-CN"/>
        </w:rPr>
        <w:t>园区</w:t>
      </w:r>
      <w:r>
        <w:rPr>
          <w:rFonts w:hint="eastAsia" w:ascii="宋体" w:hAnsi="宋体" w:eastAsia="宋体" w:cs="宋体"/>
          <w:sz w:val="21"/>
          <w:szCs w:val="21"/>
        </w:rPr>
        <w:t>有限公司</w:t>
      </w:r>
    </w:p>
    <w:p>
      <w:pPr>
        <w:spacing w:line="360" w:lineRule="auto"/>
        <w:ind w:firstLine="5880" w:firstLineChars="2800"/>
        <w:jc w:val="left"/>
        <w:rPr>
          <w:rFonts w:hint="eastAsia" w:ascii="宋体" w:hAnsi="宋体" w:eastAsia="宋体" w:cs="宋体"/>
          <w:sz w:val="21"/>
          <w:szCs w:val="21"/>
        </w:rPr>
      </w:pPr>
      <w:r>
        <w:rPr>
          <w:rFonts w:hint="eastAsia" w:ascii="宋体" w:hAnsi="宋体" w:eastAsia="宋体" w:cs="宋体"/>
          <w:sz w:val="21"/>
          <w:szCs w:val="21"/>
        </w:rPr>
        <w:t>202</w:t>
      </w:r>
      <w:r>
        <w:rPr>
          <w:rFonts w:hint="eastAsia" w:ascii="宋体" w:hAnsi="宋体" w:eastAsia="宋体" w:cs="宋体"/>
          <w:sz w:val="21"/>
          <w:szCs w:val="21"/>
          <w:lang w:val="en-US" w:eastAsia="zh-CN"/>
        </w:rPr>
        <w:t>3</w:t>
      </w:r>
      <w:r>
        <w:rPr>
          <w:rFonts w:hint="eastAsia" w:ascii="宋体" w:hAnsi="宋体" w:eastAsia="宋体" w:cs="宋体"/>
          <w:sz w:val="21"/>
          <w:szCs w:val="21"/>
        </w:rPr>
        <w:t>年</w:t>
      </w:r>
      <w:r>
        <w:rPr>
          <w:rFonts w:hint="eastAsia" w:ascii="宋体" w:hAnsi="宋体" w:eastAsia="宋体" w:cs="宋体"/>
          <w:sz w:val="21"/>
          <w:szCs w:val="21"/>
          <w:lang w:val="en-US" w:eastAsia="zh-CN"/>
        </w:rPr>
        <w:t>8</w:t>
      </w:r>
      <w:r>
        <w:rPr>
          <w:rFonts w:hint="eastAsia" w:ascii="宋体" w:hAnsi="宋体" w:eastAsia="宋体" w:cs="宋体"/>
          <w:sz w:val="21"/>
          <w:szCs w:val="21"/>
        </w:rPr>
        <w:t>月</w:t>
      </w:r>
      <w:r>
        <w:rPr>
          <w:rFonts w:hint="eastAsia" w:ascii="宋体" w:hAnsi="宋体" w:eastAsia="宋体" w:cs="宋体"/>
          <w:sz w:val="21"/>
          <w:szCs w:val="21"/>
          <w:lang w:val="en-US" w:eastAsia="zh-CN"/>
        </w:rPr>
        <w:t>1</w:t>
      </w:r>
      <w:r>
        <w:rPr>
          <w:rFonts w:hint="eastAsia" w:ascii="宋体" w:hAnsi="宋体" w:eastAsia="宋体" w:cs="宋体"/>
          <w:sz w:val="21"/>
          <w:szCs w:val="21"/>
        </w:rPr>
        <w:t>日</w:t>
      </w:r>
    </w:p>
    <w:p>
      <w:pPr>
        <w:spacing w:line="360" w:lineRule="auto"/>
        <w:jc w:val="left"/>
        <w:rPr>
          <w:rFonts w:hint="eastAsia" w:ascii="宋体" w:hAnsi="宋体" w:eastAsia="宋体" w:cs="宋体"/>
          <w:sz w:val="21"/>
          <w:szCs w:val="21"/>
        </w:rPr>
        <w:sectPr>
          <w:pgSz w:w="11906" w:h="16838"/>
          <w:pgMar w:top="1440" w:right="1800" w:bottom="1440" w:left="1800" w:header="851" w:footer="992" w:gutter="0"/>
          <w:cols w:space="425" w:num="1"/>
          <w:docGrid w:type="lines" w:linePitch="312" w:charSpace="0"/>
        </w:sectPr>
      </w:pPr>
    </w:p>
    <w:p>
      <w:pPr>
        <w:pStyle w:val="3"/>
        <w:rPr>
          <w:rFonts w:hint="default" w:eastAsiaTheme="minorEastAsia"/>
          <w:lang w:val="en-US" w:eastAsia="zh-CN"/>
        </w:rPr>
      </w:pPr>
      <w:bookmarkStart w:id="15" w:name="_Toc28275"/>
      <w:bookmarkStart w:id="16" w:name="_Toc2458"/>
      <w:bookmarkStart w:id="17" w:name="_Toc14159"/>
      <w:r>
        <w:rPr>
          <w:rFonts w:hint="eastAsia"/>
        </w:rPr>
        <w:t>第</w:t>
      </w:r>
      <w:r>
        <w:rPr>
          <w:rFonts w:hint="eastAsia"/>
          <w:lang w:val="en-US" w:eastAsia="zh-CN"/>
        </w:rPr>
        <w:t>二</w:t>
      </w:r>
      <w:r>
        <w:rPr>
          <w:rFonts w:hint="eastAsia"/>
        </w:rPr>
        <w:t xml:space="preserve">部分 </w:t>
      </w:r>
      <w:r>
        <w:rPr>
          <w:rFonts w:hint="eastAsia"/>
          <w:lang w:val="en-US" w:eastAsia="zh-CN"/>
        </w:rPr>
        <w:t>招标需求</w:t>
      </w:r>
      <w:bookmarkEnd w:id="15"/>
    </w:p>
    <w:p>
      <w:pPr>
        <w:pStyle w:val="4"/>
        <w:rPr>
          <w:rFonts w:hint="eastAsia"/>
          <w:lang w:val="en-US" w:eastAsia="zh-CN"/>
        </w:rPr>
      </w:pPr>
      <w:bookmarkStart w:id="18" w:name="_Toc12044"/>
      <w:r>
        <w:rPr>
          <w:rFonts w:hint="eastAsia"/>
          <w:lang w:val="en-US" w:eastAsia="zh-CN"/>
        </w:rPr>
        <w:t>一、实质性条款</w:t>
      </w:r>
      <w:bookmarkEnd w:id="18"/>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4"/>
        <w:gridCol w:w="1746"/>
        <w:gridCol w:w="5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4" w:type="dxa"/>
          </w:tcPr>
          <w:p>
            <w:pPr>
              <w:jc w:val="center"/>
              <w:rPr>
                <w:rFonts w:hint="default"/>
                <w:vertAlign w:val="baseline"/>
                <w:lang w:val="en-US" w:eastAsia="zh-CN"/>
              </w:rPr>
            </w:pPr>
            <w:r>
              <w:rPr>
                <w:rFonts w:hint="eastAsia"/>
                <w:vertAlign w:val="baseline"/>
                <w:lang w:val="en-US" w:eastAsia="zh-CN"/>
              </w:rPr>
              <w:t>序号</w:t>
            </w:r>
          </w:p>
        </w:tc>
        <w:tc>
          <w:tcPr>
            <w:tcW w:w="1746" w:type="dxa"/>
          </w:tcPr>
          <w:p>
            <w:pPr>
              <w:rPr>
                <w:rFonts w:hint="default"/>
                <w:vertAlign w:val="baseline"/>
                <w:lang w:val="en-US" w:eastAsia="zh-CN"/>
              </w:rPr>
            </w:pPr>
            <w:r>
              <w:rPr>
                <w:rFonts w:hint="eastAsia"/>
                <w:vertAlign w:val="baseline"/>
                <w:lang w:val="en-US" w:eastAsia="zh-CN"/>
              </w:rPr>
              <w:t>项目名称</w:t>
            </w:r>
          </w:p>
        </w:tc>
        <w:tc>
          <w:tcPr>
            <w:tcW w:w="5522" w:type="dxa"/>
          </w:tcPr>
          <w:p>
            <w:pPr>
              <w:rPr>
                <w:rFonts w:hint="default"/>
                <w:vertAlign w:val="baseline"/>
                <w:lang w:val="en-US" w:eastAsia="zh-CN"/>
              </w:rPr>
            </w:pPr>
            <w:r>
              <w:rPr>
                <w:rFonts w:hint="eastAsia"/>
                <w:vertAlign w:val="baseline"/>
                <w:lang w:val="en-US" w:eastAsia="zh-CN"/>
              </w:rPr>
              <w:t>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4" w:type="dxa"/>
          </w:tcPr>
          <w:p>
            <w:pPr>
              <w:jc w:val="center"/>
              <w:rPr>
                <w:rFonts w:hint="default"/>
                <w:vertAlign w:val="baseline"/>
                <w:lang w:val="en-US" w:eastAsia="zh-CN"/>
              </w:rPr>
            </w:pPr>
            <w:r>
              <w:rPr>
                <w:rFonts w:hint="eastAsia"/>
                <w:vertAlign w:val="baseline"/>
                <w:lang w:val="en-US" w:eastAsia="zh-CN"/>
              </w:rPr>
              <w:t>1</w:t>
            </w:r>
          </w:p>
        </w:tc>
        <w:tc>
          <w:tcPr>
            <w:tcW w:w="1746" w:type="dxa"/>
          </w:tcPr>
          <w:p>
            <w:pPr>
              <w:rPr>
                <w:rFonts w:hint="default"/>
                <w:vertAlign w:val="baseline"/>
                <w:lang w:val="en-US" w:eastAsia="zh-CN"/>
              </w:rPr>
            </w:pPr>
            <w:r>
              <w:rPr>
                <w:rFonts w:hint="eastAsia"/>
                <w:vertAlign w:val="baseline"/>
                <w:lang w:val="en-US" w:eastAsia="zh-CN"/>
              </w:rPr>
              <w:t>投标人投资界面</w:t>
            </w:r>
          </w:p>
        </w:tc>
        <w:tc>
          <w:tcPr>
            <w:tcW w:w="5522" w:type="dxa"/>
          </w:tcPr>
          <w:p>
            <w:pPr>
              <w:rPr>
                <w:rFonts w:hint="eastAsia"/>
                <w:vertAlign w:val="baseline"/>
                <w:lang w:val="en-US" w:eastAsia="zh-CN"/>
              </w:rPr>
            </w:pPr>
            <w:r>
              <w:rPr>
                <w:rFonts w:hint="eastAsia" w:ascii="宋体" w:hAnsi="宋体" w:eastAsia="宋体" w:cs="宋体"/>
              </w:rPr>
              <w:t>包括但不限于从低压相变出线端</w:t>
            </w:r>
            <w:r>
              <w:rPr>
                <w:rFonts w:hint="eastAsia" w:ascii="宋体" w:hAnsi="宋体" w:eastAsia="宋体" w:cs="宋体"/>
                <w:lang w:eastAsia="zh-CN"/>
              </w:rPr>
              <w:t>（</w:t>
            </w:r>
            <w:r>
              <w:rPr>
                <w:rFonts w:hint="eastAsia" w:ascii="宋体" w:hAnsi="宋体" w:eastAsia="宋体" w:cs="宋体"/>
                <w:lang w:val="en-US" w:eastAsia="zh-CN"/>
              </w:rPr>
              <w:t>含电表</w:t>
            </w:r>
            <w:r>
              <w:rPr>
                <w:rFonts w:hint="eastAsia" w:ascii="宋体" w:hAnsi="宋体" w:eastAsia="宋体" w:cs="宋体"/>
                <w:lang w:eastAsia="zh-CN"/>
              </w:rPr>
              <w:t>）</w:t>
            </w:r>
            <w:r>
              <w:rPr>
                <w:rFonts w:hint="eastAsia" w:ascii="宋体" w:hAnsi="宋体" w:eastAsia="宋体" w:cs="宋体"/>
              </w:rPr>
              <w:t>至充电桩末端的电缆、设备等采购安装的全部投资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4" w:type="dxa"/>
          </w:tcPr>
          <w:p>
            <w:pPr>
              <w:jc w:val="center"/>
              <w:rPr>
                <w:rFonts w:hint="default"/>
                <w:vertAlign w:val="baseline"/>
                <w:lang w:val="en-US" w:eastAsia="zh-CN"/>
              </w:rPr>
            </w:pPr>
            <w:r>
              <w:rPr>
                <w:rFonts w:hint="eastAsia"/>
                <w:vertAlign w:val="baseline"/>
                <w:lang w:val="en-US" w:eastAsia="zh-CN"/>
              </w:rPr>
              <w:t>2</w:t>
            </w:r>
          </w:p>
        </w:tc>
        <w:tc>
          <w:tcPr>
            <w:tcW w:w="1746" w:type="dxa"/>
          </w:tcPr>
          <w:p>
            <w:pPr>
              <w:rPr>
                <w:rFonts w:hint="default"/>
                <w:vertAlign w:val="baseline"/>
                <w:lang w:val="en-US" w:eastAsia="zh-CN"/>
              </w:rPr>
            </w:pPr>
            <w:r>
              <w:rPr>
                <w:rFonts w:hint="eastAsia"/>
                <w:vertAlign w:val="baseline"/>
                <w:lang w:val="en-US" w:eastAsia="zh-CN"/>
              </w:rPr>
              <w:t>工期</w:t>
            </w:r>
          </w:p>
        </w:tc>
        <w:tc>
          <w:tcPr>
            <w:tcW w:w="5522" w:type="dxa"/>
          </w:tcPr>
          <w:p>
            <w:pPr>
              <w:rPr>
                <w:rFonts w:hint="default"/>
                <w:vertAlign w:val="baseline"/>
                <w:lang w:val="en-US" w:eastAsia="zh-CN"/>
              </w:rPr>
            </w:pPr>
            <w:r>
              <w:rPr>
                <w:rFonts w:hint="eastAsia"/>
                <w:vertAlign w:val="baseline"/>
                <w:lang w:val="en-US" w:eastAsia="zh-CN"/>
              </w:rPr>
              <w:t>45日历天（必须在2023年9月28日前完工）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4" w:type="dxa"/>
          </w:tcPr>
          <w:p>
            <w:pPr>
              <w:jc w:val="center"/>
              <w:rPr>
                <w:rFonts w:hint="default"/>
                <w:vertAlign w:val="baseline"/>
                <w:lang w:val="en-US" w:eastAsia="zh-CN"/>
              </w:rPr>
            </w:pPr>
            <w:r>
              <w:rPr>
                <w:rFonts w:hint="eastAsia"/>
                <w:vertAlign w:val="baseline"/>
                <w:lang w:val="en-US" w:eastAsia="zh-CN"/>
              </w:rPr>
              <w:t>3</w:t>
            </w:r>
          </w:p>
        </w:tc>
        <w:tc>
          <w:tcPr>
            <w:tcW w:w="1746" w:type="dxa"/>
          </w:tcPr>
          <w:p>
            <w:pPr>
              <w:rPr>
                <w:rFonts w:hint="default"/>
                <w:vertAlign w:val="baseline"/>
                <w:lang w:val="en-US" w:eastAsia="zh-CN"/>
              </w:rPr>
            </w:pPr>
            <w:r>
              <w:rPr>
                <w:rFonts w:hint="eastAsia"/>
                <w:vertAlign w:val="baseline"/>
                <w:lang w:val="en-US" w:eastAsia="zh-CN"/>
              </w:rPr>
              <w:t>充电桩安装数量</w:t>
            </w:r>
          </w:p>
        </w:tc>
        <w:tc>
          <w:tcPr>
            <w:tcW w:w="5522" w:type="dxa"/>
          </w:tcPr>
          <w:p>
            <w:pPr>
              <w:rPr>
                <w:rFonts w:hint="default"/>
                <w:vertAlign w:val="baseline"/>
                <w:lang w:val="en-US" w:eastAsia="zh-CN"/>
              </w:rPr>
            </w:pPr>
            <w:r>
              <w:rPr>
                <w:rFonts w:hint="eastAsia"/>
                <w:vertAlign w:val="baseline"/>
                <w:lang w:val="en-US" w:eastAsia="zh-CN"/>
              </w:rPr>
              <w:t>停车场车位总数的30%（暂定204台）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4" w:type="dxa"/>
          </w:tcPr>
          <w:p>
            <w:pPr>
              <w:jc w:val="center"/>
              <w:rPr>
                <w:rFonts w:hint="default"/>
                <w:vertAlign w:val="baseline"/>
                <w:lang w:val="en-US" w:eastAsia="zh-CN"/>
              </w:rPr>
            </w:pPr>
            <w:r>
              <w:rPr>
                <w:rFonts w:hint="eastAsia"/>
                <w:vertAlign w:val="baseline"/>
                <w:lang w:val="en-US" w:eastAsia="zh-CN"/>
              </w:rPr>
              <w:t>4</w:t>
            </w:r>
          </w:p>
        </w:tc>
        <w:tc>
          <w:tcPr>
            <w:tcW w:w="1746" w:type="dxa"/>
          </w:tcPr>
          <w:p>
            <w:pPr>
              <w:rPr>
                <w:rFonts w:hint="default"/>
                <w:vertAlign w:val="baseline"/>
                <w:lang w:val="en-US" w:eastAsia="zh-CN"/>
              </w:rPr>
            </w:pPr>
            <w:r>
              <w:rPr>
                <w:rFonts w:hint="eastAsia"/>
                <w:vertAlign w:val="baseline"/>
                <w:lang w:val="en-US" w:eastAsia="zh-CN"/>
              </w:rPr>
              <w:t>合作年限</w:t>
            </w:r>
          </w:p>
        </w:tc>
        <w:tc>
          <w:tcPr>
            <w:tcW w:w="5522" w:type="dxa"/>
          </w:tcPr>
          <w:p>
            <w:pPr>
              <w:rPr>
                <w:rFonts w:hint="default"/>
                <w:vertAlign w:val="baseline"/>
                <w:lang w:val="en-US" w:eastAsia="zh-CN"/>
              </w:rPr>
            </w:pPr>
            <w:r>
              <w:rPr>
                <w:rFonts w:hint="eastAsia"/>
                <w:vertAlign w:val="baseline"/>
                <w:lang w:val="en-US" w:eastAsia="zh-CN"/>
              </w:rPr>
              <w:t>10年</w:t>
            </w:r>
            <w:r>
              <w:rPr>
                <w:rFonts w:hint="eastAsia" w:ascii="宋体" w:hAnsi="宋体" w:eastAsia="宋体" w:cs="宋体"/>
              </w:rPr>
              <w:t>（竣工验收合格后，经双方协商正式启动运营起计）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4" w:type="dxa"/>
          </w:tcPr>
          <w:p>
            <w:pPr>
              <w:jc w:val="center"/>
              <w:rPr>
                <w:rFonts w:hint="default"/>
                <w:vertAlign w:val="baseline"/>
                <w:lang w:val="en-US" w:eastAsia="zh-CN"/>
              </w:rPr>
            </w:pPr>
            <w:r>
              <w:rPr>
                <w:rFonts w:hint="eastAsia"/>
                <w:vertAlign w:val="baseline"/>
                <w:lang w:val="en-US" w:eastAsia="zh-CN"/>
              </w:rPr>
              <w:t>5</w:t>
            </w:r>
          </w:p>
        </w:tc>
        <w:tc>
          <w:tcPr>
            <w:tcW w:w="1746" w:type="dxa"/>
          </w:tcPr>
          <w:p>
            <w:pPr>
              <w:rPr>
                <w:rFonts w:hint="default"/>
                <w:vertAlign w:val="baseline"/>
                <w:lang w:val="en-US" w:eastAsia="zh-CN"/>
              </w:rPr>
            </w:pPr>
            <w:r>
              <w:rPr>
                <w:rFonts w:hint="eastAsia"/>
                <w:vertAlign w:val="baseline"/>
                <w:lang w:val="en-US" w:eastAsia="zh-CN"/>
              </w:rPr>
              <w:t>运营结算</w:t>
            </w:r>
          </w:p>
        </w:tc>
        <w:tc>
          <w:tcPr>
            <w:tcW w:w="5522" w:type="dxa"/>
          </w:tcPr>
          <w:p>
            <w:pPr>
              <w:rPr>
                <w:rFonts w:hint="default"/>
                <w:vertAlign w:val="baseline"/>
                <w:lang w:val="en-US" w:eastAsia="zh-CN"/>
              </w:rPr>
            </w:pPr>
            <w:r>
              <w:rPr>
                <w:rFonts w:hint="eastAsia"/>
                <w:vertAlign w:val="baseline"/>
                <w:lang w:val="en-US" w:eastAsia="zh-CN"/>
              </w:rPr>
              <w:t>按季度结算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4" w:type="dxa"/>
          </w:tcPr>
          <w:p>
            <w:pPr>
              <w:jc w:val="center"/>
              <w:rPr>
                <w:rFonts w:hint="default"/>
                <w:vertAlign w:val="baseline"/>
                <w:lang w:val="en-US" w:eastAsia="zh-CN"/>
              </w:rPr>
            </w:pPr>
            <w:r>
              <w:rPr>
                <w:rFonts w:hint="eastAsia"/>
                <w:vertAlign w:val="baseline"/>
                <w:lang w:val="en-US" w:eastAsia="zh-CN"/>
              </w:rPr>
              <w:t>6</w:t>
            </w:r>
          </w:p>
        </w:tc>
        <w:tc>
          <w:tcPr>
            <w:tcW w:w="1746" w:type="dxa"/>
          </w:tcPr>
          <w:p>
            <w:pPr>
              <w:rPr>
                <w:rFonts w:hint="default"/>
                <w:vertAlign w:val="baseline"/>
                <w:lang w:val="en-US" w:eastAsia="zh-CN"/>
              </w:rPr>
            </w:pPr>
            <w:r>
              <w:rPr>
                <w:rFonts w:hint="eastAsia"/>
                <w:vertAlign w:val="baseline"/>
                <w:lang w:val="en-US" w:eastAsia="zh-CN"/>
              </w:rPr>
              <w:t>充电系统平台</w:t>
            </w:r>
          </w:p>
        </w:tc>
        <w:tc>
          <w:tcPr>
            <w:tcW w:w="5522" w:type="dxa"/>
          </w:tcPr>
          <w:p>
            <w:pPr>
              <w:rPr>
                <w:rFonts w:hint="eastAsia"/>
                <w:vertAlign w:val="baseline"/>
                <w:lang w:val="en-US" w:eastAsia="zh-CN"/>
              </w:rPr>
            </w:pPr>
            <w:r>
              <w:rPr>
                <w:rFonts w:hint="eastAsia"/>
                <w:lang w:val="en-US" w:eastAsia="zh-CN"/>
              </w:rPr>
              <w:t>中标人</w:t>
            </w:r>
            <w:r>
              <w:rPr>
                <w:rFonts w:hint="eastAsia"/>
              </w:rPr>
              <w:t>应承诺无条件配合本项目的建设单位将数据接入建筑设备中央管理系统</w:t>
            </w:r>
          </w:p>
        </w:tc>
      </w:tr>
    </w:tbl>
    <w:p>
      <w:pPr>
        <w:rPr>
          <w:rFonts w:hint="default"/>
          <w:lang w:val="en-US" w:eastAsia="zh-CN"/>
        </w:rPr>
      </w:pPr>
      <w:r>
        <w:rPr>
          <w:rFonts w:hint="eastAsia"/>
          <w:lang w:val="en-US" w:eastAsia="zh-CN"/>
        </w:rPr>
        <w:t>注：上表所列内容为不可负偏离条款</w:t>
      </w:r>
    </w:p>
    <w:p>
      <w:pPr>
        <w:pStyle w:val="4"/>
        <w:rPr>
          <w:rFonts w:hint="eastAsia" w:ascii="Arial" w:hAnsi="Arial" w:eastAsia="黑体" w:cstheme="minorBidi"/>
          <w:lang w:val="en-US" w:eastAsia="zh-CN"/>
        </w:rPr>
      </w:pPr>
      <w:bookmarkStart w:id="19" w:name="_Toc882"/>
      <w:r>
        <w:rPr>
          <w:rFonts w:hint="eastAsia"/>
          <w:lang w:val="en-US" w:eastAsia="zh-CN"/>
        </w:rPr>
        <w:t>二、</w:t>
      </w:r>
      <w:r>
        <w:rPr>
          <w:rFonts w:hint="eastAsia" w:ascii="Arial" w:hAnsi="Arial" w:eastAsia="黑体" w:cstheme="minorBidi"/>
          <w:lang w:val="en-US" w:eastAsia="zh-CN"/>
        </w:rPr>
        <w:t>项目概况</w:t>
      </w:r>
      <w:bookmarkEnd w:id="19"/>
    </w:p>
    <w:p>
      <w:pPr>
        <w:spacing w:line="400" w:lineRule="exact"/>
        <w:ind w:firstLine="420" w:firstLineChars="200"/>
        <w:rPr>
          <w:rFonts w:hint="default" w:ascii="宋体" w:hAnsi="宋体" w:eastAsia="宋体" w:cs="宋体"/>
          <w:lang w:val="en-US" w:eastAsia="zh-CN"/>
        </w:rPr>
      </w:pPr>
      <w:r>
        <w:rPr>
          <w:rFonts w:hint="eastAsia" w:ascii="宋体" w:hAnsi="宋体" w:eastAsia="宋体" w:cs="宋体"/>
        </w:rPr>
        <w:t>前海交易广场项目位于深圳市南山区前海深港合作区，总建筑面积19.50万平方米，地下建筑面积4.59万平方米，由T1、T2栋、T3栋及T1-T5业裙房共4栋单体组成。其中，T1栋建筑高度为220米。</w:t>
      </w:r>
      <w:r>
        <w:rPr>
          <w:rFonts w:hint="eastAsia" w:ascii="宋体" w:hAnsi="宋体" w:eastAsia="宋体" w:cs="宋体"/>
          <w:lang w:val="en-US" w:eastAsia="zh-CN"/>
        </w:rPr>
        <w:t>项目</w:t>
      </w:r>
      <w:r>
        <w:rPr>
          <w:rFonts w:hint="eastAsia" w:ascii="宋体" w:hAnsi="宋体" w:eastAsia="宋体" w:cs="宋体"/>
        </w:rPr>
        <w:t>建成后将成为集超甲级写字楼、高端商务公寓及商业街为一体的综合型项目，成为前海金融及要素交易类产业聚集发展的重要平台，对前海构建国际化、市场化的一流营商环境具有重要意义</w:t>
      </w:r>
      <w:r>
        <w:rPr>
          <w:rFonts w:hint="eastAsia" w:ascii="宋体" w:hAnsi="宋体" w:eastAsia="宋体" w:cs="宋体"/>
          <w:lang w:eastAsia="zh-CN"/>
        </w:rPr>
        <w:t>。</w:t>
      </w:r>
    </w:p>
    <w:p>
      <w:pPr>
        <w:spacing w:line="400" w:lineRule="exact"/>
        <w:ind w:firstLine="420" w:firstLineChars="200"/>
        <w:rPr>
          <w:rFonts w:hint="eastAsia" w:ascii="宋体" w:hAnsi="宋体" w:eastAsia="宋体" w:cs="宋体"/>
          <w:lang w:val="en-US" w:eastAsia="zh-CN"/>
        </w:rPr>
      </w:pPr>
      <w:r>
        <w:rPr>
          <w:rFonts w:hint="default" w:ascii="宋体" w:hAnsi="宋体" w:eastAsia="宋体" w:cs="宋体"/>
        </w:rPr>
        <w:t>本次投资建设</w:t>
      </w:r>
      <w:r>
        <w:rPr>
          <w:rFonts w:hint="eastAsia" w:ascii="宋体" w:hAnsi="宋体" w:eastAsia="宋体" w:cs="宋体"/>
          <w:lang w:val="en-US" w:eastAsia="zh-CN"/>
        </w:rPr>
        <w:t>交流充电桩</w:t>
      </w:r>
      <w:r>
        <w:rPr>
          <w:rFonts w:hint="default" w:ascii="宋体" w:hAnsi="宋体" w:eastAsia="宋体" w:cs="宋体"/>
        </w:rPr>
        <w:t>的停车场车位总数678个，</w:t>
      </w:r>
      <w:r>
        <w:rPr>
          <w:rFonts w:hint="eastAsia" w:ascii="宋体" w:hAnsi="宋体" w:eastAsia="宋体" w:cs="宋体"/>
          <w:lang w:val="en-US" w:eastAsia="zh-CN"/>
        </w:rPr>
        <w:t>拟通过引入第三方单位进行投资建设，</w:t>
      </w:r>
      <w:r>
        <w:rPr>
          <w:rFonts w:hint="eastAsia" w:ascii="宋体" w:hAnsi="宋体" w:eastAsia="宋体" w:cs="宋体"/>
        </w:rPr>
        <w:t>投资建设</w:t>
      </w:r>
      <w:r>
        <w:rPr>
          <w:rFonts w:hint="eastAsia" w:ascii="宋体" w:hAnsi="宋体" w:eastAsia="宋体" w:cs="宋体"/>
          <w:lang w:val="en-US" w:eastAsia="zh-CN"/>
        </w:rPr>
        <w:t>界面</w:t>
      </w:r>
      <w:r>
        <w:rPr>
          <w:rFonts w:hint="eastAsia" w:ascii="宋体" w:hAnsi="宋体" w:eastAsia="宋体" w:cs="宋体"/>
        </w:rPr>
        <w:t>包括但不限于从低压相变出线端</w:t>
      </w:r>
      <w:r>
        <w:rPr>
          <w:rFonts w:hint="eastAsia" w:ascii="宋体" w:hAnsi="宋体" w:eastAsia="宋体" w:cs="宋体"/>
          <w:lang w:eastAsia="zh-CN"/>
        </w:rPr>
        <w:t>（</w:t>
      </w:r>
      <w:r>
        <w:rPr>
          <w:rFonts w:hint="eastAsia" w:ascii="宋体" w:hAnsi="宋体" w:eastAsia="宋体" w:cs="宋体"/>
          <w:lang w:val="en-US" w:eastAsia="zh-CN"/>
        </w:rPr>
        <w:t>含电表</w:t>
      </w:r>
      <w:r>
        <w:rPr>
          <w:rFonts w:hint="eastAsia" w:ascii="宋体" w:hAnsi="宋体" w:eastAsia="宋体" w:cs="宋体"/>
          <w:lang w:eastAsia="zh-CN"/>
        </w:rPr>
        <w:t>）</w:t>
      </w:r>
      <w:r>
        <w:rPr>
          <w:rFonts w:hint="eastAsia" w:ascii="宋体" w:hAnsi="宋体" w:eastAsia="宋体" w:cs="宋体"/>
        </w:rPr>
        <w:t>至充电桩末端的电缆、设备等采购安装的全部投资。第三方投资建设的电缆、充电桩及其他附属设施设备其产权和管理权归第三方所有</w:t>
      </w:r>
      <w:r>
        <w:rPr>
          <w:rFonts w:hint="eastAsia" w:ascii="宋体" w:hAnsi="宋体" w:eastAsia="宋体" w:cs="宋体"/>
          <w:lang w:eastAsia="zh-CN"/>
        </w:rPr>
        <w:t>。</w:t>
      </w:r>
      <w:r>
        <w:rPr>
          <w:rFonts w:hint="eastAsia" w:ascii="宋体" w:hAnsi="宋体" w:eastAsia="宋体" w:cs="宋体"/>
          <w:lang w:val="en-US" w:eastAsia="zh-CN"/>
        </w:rPr>
        <w:t>招标人按照不低于18%的比例分成充电桩服务费收益。</w:t>
      </w:r>
    </w:p>
    <w:p>
      <w:pPr>
        <w:pStyle w:val="4"/>
        <w:rPr>
          <w:rFonts w:hint="eastAsia" w:ascii="Arial" w:hAnsi="Arial" w:eastAsia="黑体" w:cstheme="minorBidi"/>
          <w:lang w:val="en-US" w:eastAsia="zh-CN"/>
        </w:rPr>
      </w:pPr>
      <w:bookmarkStart w:id="20" w:name="_Toc10977"/>
      <w:r>
        <w:rPr>
          <w:rFonts w:hint="eastAsia" w:cstheme="minorBidi"/>
          <w:lang w:val="en-US" w:eastAsia="zh-CN"/>
        </w:rPr>
        <w:t>三</w:t>
      </w:r>
      <w:r>
        <w:rPr>
          <w:rFonts w:hint="eastAsia" w:ascii="Arial" w:hAnsi="Arial" w:eastAsia="黑体" w:cstheme="minorBidi"/>
          <w:lang w:val="en-US" w:eastAsia="zh-CN"/>
        </w:rPr>
        <w:t>、技术要求</w:t>
      </w:r>
      <w:bookmarkEnd w:id="20"/>
    </w:p>
    <w:p>
      <w:pPr>
        <w:spacing w:line="400" w:lineRule="exact"/>
        <w:ind w:firstLine="420" w:firstLineChars="200"/>
        <w:outlineLvl w:val="2"/>
        <w:rPr>
          <w:rFonts w:hint="eastAsia"/>
          <w:lang w:val="en-US" w:eastAsia="zh-CN"/>
        </w:rPr>
      </w:pPr>
      <w:r>
        <w:rPr>
          <w:rFonts w:hint="eastAsia"/>
          <w:lang w:eastAsia="zh-CN"/>
        </w:rPr>
        <w:t>（</w:t>
      </w:r>
      <w:r>
        <w:rPr>
          <w:rFonts w:hint="eastAsia"/>
          <w:lang w:val="en-US" w:eastAsia="zh-CN"/>
        </w:rPr>
        <w:t>一</w:t>
      </w:r>
      <w:r>
        <w:rPr>
          <w:rFonts w:hint="eastAsia"/>
          <w:lang w:eastAsia="zh-CN"/>
        </w:rPr>
        <w:t>）</w:t>
      </w:r>
      <w:r>
        <w:rPr>
          <w:rFonts w:hint="eastAsia"/>
          <w:lang w:val="en-US" w:eastAsia="zh-CN"/>
        </w:rPr>
        <w:t>充电桩</w:t>
      </w:r>
    </w:p>
    <w:p>
      <w:pPr>
        <w:spacing w:line="400" w:lineRule="exact"/>
        <w:ind w:firstLine="420" w:firstLineChars="200"/>
        <w:rPr>
          <w:rFonts w:hint="eastAsia"/>
          <w:lang w:val="en-US" w:eastAsia="zh-CN"/>
        </w:rPr>
      </w:pPr>
      <w:r>
        <w:rPr>
          <w:rFonts w:hint="eastAsia"/>
          <w:lang w:val="en-US" w:eastAsia="zh-CN"/>
        </w:rPr>
        <w:t>1.一般要求</w:t>
      </w:r>
    </w:p>
    <w:p>
      <w:pPr>
        <w:spacing w:line="400" w:lineRule="exact"/>
        <w:ind w:firstLine="420" w:firstLineChars="200"/>
        <w:rPr>
          <w:rFonts w:hint="eastAsia"/>
        </w:rPr>
      </w:pPr>
      <w:r>
        <w:rPr>
          <w:rFonts w:hint="eastAsia"/>
        </w:rPr>
        <w:t>A.设备的制造标准、安装标准及技术规范等有关资料应符合现行我国相应的有关标准、规范要求。</w:t>
      </w:r>
    </w:p>
    <w:p>
      <w:pPr>
        <w:spacing w:line="400" w:lineRule="exact"/>
        <w:ind w:firstLine="420" w:firstLineChars="200"/>
        <w:rPr>
          <w:rFonts w:hint="eastAsia"/>
        </w:rPr>
      </w:pPr>
      <w:r>
        <w:rPr>
          <w:rFonts w:hint="eastAsia"/>
          <w:lang w:val="en-US" w:eastAsia="zh-CN"/>
        </w:rPr>
        <w:t>B</w:t>
      </w:r>
      <w:r>
        <w:rPr>
          <w:rFonts w:hint="eastAsia"/>
        </w:rPr>
        <w:t>.本项目的施工和施工材料要符合工程、环保、安防、消防要求及国家相关规范 的要求。</w:t>
      </w:r>
    </w:p>
    <w:p>
      <w:pPr>
        <w:spacing w:line="400" w:lineRule="exact"/>
        <w:ind w:firstLine="420" w:firstLineChars="200"/>
        <w:rPr>
          <w:rFonts w:hint="eastAsia"/>
        </w:rPr>
      </w:pPr>
      <w:r>
        <w:rPr>
          <w:rFonts w:hint="eastAsia"/>
          <w:lang w:val="en-US" w:eastAsia="zh-CN"/>
        </w:rPr>
        <w:t>C</w:t>
      </w:r>
      <w:r>
        <w:rPr>
          <w:rFonts w:hint="eastAsia"/>
        </w:rPr>
        <w:t>.须保证提供原厂正规合格、品质优良的产品，技术资料齐全的基本要求。</w:t>
      </w:r>
    </w:p>
    <w:p>
      <w:pPr>
        <w:spacing w:line="400" w:lineRule="exact"/>
        <w:ind w:firstLine="420" w:firstLineChars="200"/>
        <w:rPr>
          <w:rFonts w:hint="eastAsia"/>
        </w:rPr>
      </w:pPr>
      <w:r>
        <w:rPr>
          <w:rFonts w:hint="eastAsia"/>
          <w:lang w:val="en-US" w:eastAsia="zh-CN"/>
        </w:rPr>
        <w:t>D</w:t>
      </w:r>
      <w:r>
        <w:rPr>
          <w:rFonts w:hint="eastAsia"/>
        </w:rPr>
        <w:t>.须保证在使用过程的任何时候不受到知识产权、工业设计权或版权的纠纷，否则，由此产生的任何责任完全由</w:t>
      </w:r>
      <w:r>
        <w:rPr>
          <w:rFonts w:hint="eastAsia"/>
          <w:lang w:val="en-US" w:eastAsia="zh-CN"/>
        </w:rPr>
        <w:t>中标人</w:t>
      </w:r>
      <w:r>
        <w:rPr>
          <w:rFonts w:hint="eastAsia"/>
        </w:rPr>
        <w:t>承担。</w:t>
      </w:r>
    </w:p>
    <w:p>
      <w:pPr>
        <w:spacing w:line="400" w:lineRule="exact"/>
        <w:ind w:firstLine="420" w:firstLineChars="200"/>
        <w:rPr>
          <w:rFonts w:hint="eastAsia"/>
        </w:rPr>
      </w:pPr>
      <w:r>
        <w:rPr>
          <w:rFonts w:hint="eastAsia"/>
          <w:lang w:val="en-US" w:eastAsia="zh-CN"/>
        </w:rPr>
        <w:t>E</w:t>
      </w:r>
      <w:r>
        <w:rPr>
          <w:rFonts w:hint="eastAsia"/>
        </w:rPr>
        <w:t>.应提供详细技术方案及安装方案，保证工程进度、工程质量及安全的主要措施。</w:t>
      </w:r>
    </w:p>
    <w:p>
      <w:pPr>
        <w:spacing w:line="400" w:lineRule="exact"/>
        <w:ind w:firstLine="420" w:firstLineChars="200"/>
        <w:rPr>
          <w:rFonts w:hint="eastAsia"/>
        </w:rPr>
      </w:pPr>
      <w:r>
        <w:rPr>
          <w:rFonts w:hint="eastAsia"/>
          <w:lang w:val="en-US" w:eastAsia="zh-CN"/>
        </w:rPr>
        <w:t>F</w:t>
      </w:r>
      <w:r>
        <w:rPr>
          <w:rFonts w:hint="eastAsia"/>
        </w:rPr>
        <w:t>.应承诺无条件配合本项目的建设单位将数据接入建筑设备中央管理系统。</w:t>
      </w:r>
    </w:p>
    <w:p>
      <w:pPr>
        <w:spacing w:line="400" w:lineRule="exact"/>
        <w:ind w:firstLine="420" w:firstLineChars="200"/>
        <w:rPr>
          <w:rFonts w:hint="eastAsia"/>
          <w:lang w:val="en-US" w:eastAsia="zh-CN"/>
        </w:rPr>
      </w:pPr>
      <w:r>
        <w:rPr>
          <w:rFonts w:hint="eastAsia"/>
          <w:lang w:val="en-US" w:eastAsia="zh-CN"/>
        </w:rPr>
        <w:t>2.主要技术参数要求</w:t>
      </w:r>
    </w:p>
    <w:p>
      <w:pPr>
        <w:jc w:val="center"/>
      </w:pPr>
      <w:r>
        <w:drawing>
          <wp:inline distT="0" distB="0" distL="114300" distR="114300">
            <wp:extent cx="4969510" cy="1494155"/>
            <wp:effectExtent l="0" t="0" r="2540" b="1079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4"/>
                    <a:stretch>
                      <a:fillRect/>
                    </a:stretch>
                  </pic:blipFill>
                  <pic:spPr>
                    <a:xfrm>
                      <a:off x="0" y="0"/>
                      <a:ext cx="4969510" cy="1494155"/>
                    </a:xfrm>
                    <a:prstGeom prst="rect">
                      <a:avLst/>
                    </a:prstGeom>
                    <a:noFill/>
                    <a:ln>
                      <a:noFill/>
                    </a:ln>
                  </pic:spPr>
                </pic:pic>
              </a:graphicData>
            </a:graphic>
          </wp:inline>
        </w:drawing>
      </w:r>
      <w:r>
        <w:drawing>
          <wp:inline distT="0" distB="0" distL="114300" distR="114300">
            <wp:extent cx="4959350" cy="2973705"/>
            <wp:effectExtent l="0" t="0" r="12700" b="17145"/>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5"/>
                    <a:stretch>
                      <a:fillRect/>
                    </a:stretch>
                  </pic:blipFill>
                  <pic:spPr>
                    <a:xfrm>
                      <a:off x="0" y="0"/>
                      <a:ext cx="4959350" cy="2973705"/>
                    </a:xfrm>
                    <a:prstGeom prst="rect">
                      <a:avLst/>
                    </a:prstGeom>
                    <a:noFill/>
                    <a:ln>
                      <a:noFill/>
                    </a:ln>
                  </pic:spPr>
                </pic:pic>
              </a:graphicData>
            </a:graphic>
          </wp:inline>
        </w:drawing>
      </w:r>
    </w:p>
    <w:p>
      <w:pPr>
        <w:spacing w:line="400" w:lineRule="exact"/>
        <w:ind w:firstLine="420" w:firstLineChars="200"/>
        <w:outlineLvl w:val="2"/>
        <w:rPr>
          <w:rFonts w:hint="eastAsia"/>
          <w:lang w:val="en-US" w:eastAsia="zh-CN"/>
        </w:rPr>
      </w:pPr>
      <w:r>
        <w:rPr>
          <w:rFonts w:hint="eastAsia"/>
          <w:lang w:val="en-US" w:eastAsia="zh-CN"/>
        </w:rPr>
        <w:t>（二）施工及电缆电缆桥架等附属设备</w:t>
      </w:r>
    </w:p>
    <w:p>
      <w:pPr>
        <w:spacing w:line="400" w:lineRule="exact"/>
        <w:ind w:firstLine="420" w:firstLineChars="200"/>
        <w:rPr>
          <w:rFonts w:hint="default"/>
          <w:lang w:val="en-US" w:eastAsia="zh-CN"/>
        </w:rPr>
      </w:pPr>
      <w:r>
        <w:rPr>
          <w:rFonts w:hint="eastAsia"/>
          <w:lang w:val="en-US" w:eastAsia="zh-CN"/>
        </w:rPr>
        <w:t>1.</w:t>
      </w:r>
      <w:r>
        <w:rPr>
          <w:rFonts w:hint="eastAsia"/>
        </w:rPr>
        <w:t>设备的制造标准、安装标准及技术规范等有关资料应符合现行我国相应的有关标准、规范要求。</w:t>
      </w:r>
    </w:p>
    <w:p>
      <w:pPr>
        <w:spacing w:line="400" w:lineRule="exact"/>
        <w:ind w:firstLine="420" w:firstLineChars="200"/>
        <w:rPr>
          <w:rFonts w:hint="default"/>
          <w:lang w:val="en-US" w:eastAsia="zh-CN"/>
        </w:rPr>
      </w:pPr>
      <w:r>
        <w:rPr>
          <w:rFonts w:hint="eastAsia"/>
          <w:lang w:val="en-US" w:eastAsia="zh-CN"/>
        </w:rPr>
        <w:t>2.</w:t>
      </w:r>
      <w:r>
        <w:rPr>
          <w:rFonts w:hint="default"/>
          <w:lang w:val="en-US" w:eastAsia="zh-CN"/>
        </w:rPr>
        <w:t>必须符合《建筑工程施工质量验收统一标准》、《建筑电气工程施工质量验收规范》。</w:t>
      </w:r>
    </w:p>
    <w:p>
      <w:pPr>
        <w:spacing w:line="400" w:lineRule="exact"/>
        <w:ind w:firstLine="420" w:firstLineChars="200"/>
        <w:rPr>
          <w:rFonts w:hint="default"/>
          <w:lang w:val="en-US" w:eastAsia="zh-CN"/>
        </w:rPr>
      </w:pPr>
      <w:r>
        <w:rPr>
          <w:rFonts w:hint="eastAsia"/>
          <w:lang w:val="en-US" w:eastAsia="zh-CN"/>
        </w:rPr>
        <w:t>3.</w:t>
      </w:r>
      <w:r>
        <w:rPr>
          <w:rFonts w:hint="default"/>
          <w:lang w:val="en-US" w:eastAsia="zh-CN"/>
        </w:rPr>
        <w:t>除工程规范及图纸所述外，整项工程必须符合现行的国家规范、行业标准、备案的企业标准及其他一切有关政府部门的规定和守则；若合同规范与国家现行规范有矛盾时，以国家现行规范为准；若规范和图纸及其他文件内容不一致时，应采取较严格的标准执行。</w:t>
      </w:r>
    </w:p>
    <w:p>
      <w:pPr>
        <w:pStyle w:val="4"/>
        <w:rPr>
          <w:rFonts w:hint="eastAsia"/>
          <w:lang w:val="en-US" w:eastAsia="zh-CN"/>
        </w:rPr>
      </w:pPr>
      <w:bookmarkStart w:id="21" w:name="_Toc20772"/>
      <w:r>
        <w:rPr>
          <w:rFonts w:hint="eastAsia"/>
          <w:lang w:val="en-US" w:eastAsia="zh-CN"/>
        </w:rPr>
        <w:t>四、施工图纸</w:t>
      </w:r>
      <w:bookmarkEnd w:id="21"/>
    </w:p>
    <w:p>
      <w:pPr>
        <w:spacing w:line="400" w:lineRule="exact"/>
        <w:ind w:firstLine="420" w:firstLineChars="200"/>
        <w:rPr>
          <w:rFonts w:hint="default"/>
          <w:lang w:val="en-US" w:eastAsia="zh-CN"/>
        </w:rPr>
        <w:sectPr>
          <w:pgSz w:w="11906" w:h="16838"/>
          <w:pgMar w:top="1440" w:right="1800" w:bottom="1440" w:left="1800" w:header="851" w:footer="992" w:gutter="0"/>
          <w:cols w:space="425" w:num="1"/>
          <w:docGrid w:type="lines" w:linePitch="312" w:charSpace="0"/>
        </w:sectPr>
      </w:pPr>
      <w:r>
        <w:rPr>
          <w:rFonts w:hint="eastAsia"/>
          <w:lang w:val="en-US" w:eastAsia="zh-CN"/>
        </w:rPr>
        <w:t>见附件。</w:t>
      </w:r>
      <w:bookmarkStart w:id="143" w:name="_GoBack"/>
      <w:bookmarkEnd w:id="143"/>
    </w:p>
    <w:p>
      <w:pPr>
        <w:pStyle w:val="3"/>
      </w:pPr>
      <w:bookmarkStart w:id="22" w:name="_Toc10586"/>
      <w:r>
        <w:rPr>
          <w:rFonts w:hint="eastAsia"/>
        </w:rPr>
        <w:t>第</w:t>
      </w:r>
      <w:r>
        <w:rPr>
          <w:rFonts w:hint="eastAsia"/>
          <w:lang w:val="en-US" w:eastAsia="zh-CN"/>
        </w:rPr>
        <w:t>三</w:t>
      </w:r>
      <w:r>
        <w:rPr>
          <w:rFonts w:hint="eastAsia"/>
        </w:rPr>
        <w:t>部分 竞争性谈判须知</w:t>
      </w:r>
      <w:bookmarkEnd w:id="16"/>
      <w:bookmarkEnd w:id="17"/>
      <w:bookmarkEnd w:id="22"/>
    </w:p>
    <w:p>
      <w:pPr>
        <w:rPr>
          <w:rFonts w:hint="eastAsia" w:asciiTheme="minorEastAsia" w:hAnsiTheme="minorEastAsia" w:cstheme="minorEastAsia"/>
          <w:b/>
          <w:sz w:val="21"/>
          <w:szCs w:val="21"/>
        </w:rPr>
      </w:pPr>
      <w:r>
        <w:rPr>
          <w:rFonts w:hint="eastAsia" w:asciiTheme="minorEastAsia" w:hAnsiTheme="minorEastAsia" w:cstheme="minorEastAsia"/>
          <w:b/>
          <w:sz w:val="21"/>
          <w:szCs w:val="21"/>
        </w:rPr>
        <w:t>前附表</w:t>
      </w:r>
    </w:p>
    <w:tbl>
      <w:tblPr>
        <w:tblStyle w:val="15"/>
        <w:tblW w:w="89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8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0" w:hRule="atLeast"/>
          <w:jc w:val="center"/>
        </w:trPr>
        <w:tc>
          <w:tcPr>
            <w:tcW w:w="720" w:type="dxa"/>
            <w:vAlign w:val="center"/>
          </w:tcPr>
          <w:p>
            <w:pPr>
              <w:spacing w:line="400" w:lineRule="exact"/>
              <w:rPr>
                <w:rFonts w:hint="eastAsia" w:asciiTheme="minorEastAsia" w:hAnsiTheme="minorEastAsia" w:cstheme="minorEastAsia"/>
                <w:b/>
                <w:sz w:val="21"/>
                <w:szCs w:val="21"/>
              </w:rPr>
            </w:pPr>
            <w:r>
              <w:rPr>
                <w:rFonts w:hint="eastAsia" w:asciiTheme="minorEastAsia" w:hAnsiTheme="minorEastAsia" w:cstheme="minorEastAsia"/>
                <w:b/>
                <w:sz w:val="21"/>
                <w:szCs w:val="21"/>
              </w:rPr>
              <w:t>项目</w:t>
            </w:r>
          </w:p>
        </w:tc>
        <w:tc>
          <w:tcPr>
            <w:tcW w:w="8197" w:type="dxa"/>
            <w:vAlign w:val="center"/>
          </w:tcPr>
          <w:p>
            <w:pPr>
              <w:spacing w:line="400" w:lineRule="exact"/>
              <w:jc w:val="center"/>
              <w:rPr>
                <w:rFonts w:hint="eastAsia" w:asciiTheme="minorEastAsia" w:hAnsiTheme="minorEastAsia" w:cstheme="minorEastAsia"/>
                <w:b/>
                <w:sz w:val="21"/>
                <w:szCs w:val="21"/>
              </w:rPr>
            </w:pPr>
            <w:r>
              <w:rPr>
                <w:rFonts w:hint="eastAsia" w:asciiTheme="minorEastAsia" w:hAnsiTheme="minorEastAsia" w:cstheme="minorEastAsia"/>
                <w:b/>
                <w:sz w:val="21"/>
                <w:szCs w:val="21"/>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720" w:type="dxa"/>
            <w:vAlign w:val="center"/>
          </w:tcPr>
          <w:p>
            <w:pPr>
              <w:spacing w:line="400" w:lineRule="exact"/>
              <w:jc w:val="center"/>
              <w:rPr>
                <w:rFonts w:hint="eastAsia" w:asciiTheme="minorEastAsia" w:hAnsiTheme="minorEastAsia" w:cstheme="minorEastAsia"/>
                <w:sz w:val="21"/>
                <w:szCs w:val="21"/>
              </w:rPr>
            </w:pPr>
            <w:r>
              <w:rPr>
                <w:rFonts w:hint="eastAsia" w:asciiTheme="minorEastAsia" w:hAnsiTheme="minorEastAsia" w:cstheme="minorEastAsia"/>
                <w:sz w:val="21"/>
                <w:szCs w:val="21"/>
              </w:rPr>
              <w:t>1</w:t>
            </w:r>
          </w:p>
        </w:tc>
        <w:tc>
          <w:tcPr>
            <w:tcW w:w="8197" w:type="dxa"/>
            <w:vAlign w:val="center"/>
          </w:tcPr>
          <w:p>
            <w:pPr>
              <w:spacing w:line="400" w:lineRule="exact"/>
              <w:rPr>
                <w:rFonts w:hint="eastAsia" w:asciiTheme="minorEastAsia" w:hAnsiTheme="minorEastAsia" w:cstheme="minorEastAsia"/>
                <w:sz w:val="21"/>
                <w:szCs w:val="21"/>
              </w:rPr>
            </w:pPr>
            <w:r>
              <w:rPr>
                <w:rFonts w:hint="eastAsia" w:asciiTheme="minorEastAsia" w:hAnsiTheme="minorEastAsia" w:cstheme="minorEastAsia"/>
                <w:b/>
                <w:sz w:val="21"/>
                <w:szCs w:val="21"/>
              </w:rPr>
              <w:t>项目名称：</w:t>
            </w:r>
            <w:r>
              <w:rPr>
                <w:rFonts w:hint="eastAsia" w:asciiTheme="minorEastAsia" w:hAnsiTheme="minorEastAsia" w:cstheme="minorEastAsia"/>
                <w:szCs w:val="21"/>
                <w:u w:val="single"/>
              </w:rPr>
              <w:t>前海交易广场停车场交流充电桩投资建设运营项目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720" w:type="dxa"/>
            <w:vAlign w:val="center"/>
          </w:tcPr>
          <w:p>
            <w:pPr>
              <w:spacing w:line="400" w:lineRule="exact"/>
              <w:jc w:val="center"/>
              <w:rPr>
                <w:rFonts w:hint="eastAsia" w:asciiTheme="minorEastAsia" w:hAnsiTheme="minorEastAsia" w:cstheme="minorEastAsia"/>
                <w:sz w:val="21"/>
                <w:szCs w:val="21"/>
              </w:rPr>
            </w:pPr>
            <w:r>
              <w:rPr>
                <w:rFonts w:hint="eastAsia" w:asciiTheme="minorEastAsia" w:hAnsiTheme="minorEastAsia" w:cstheme="minorEastAsia"/>
                <w:sz w:val="21"/>
                <w:szCs w:val="21"/>
              </w:rPr>
              <w:t>2</w:t>
            </w:r>
          </w:p>
        </w:tc>
        <w:tc>
          <w:tcPr>
            <w:tcW w:w="8197" w:type="dxa"/>
            <w:vAlign w:val="center"/>
          </w:tcPr>
          <w:p>
            <w:pPr>
              <w:spacing w:line="400" w:lineRule="exact"/>
              <w:rPr>
                <w:rFonts w:hint="eastAsia" w:asciiTheme="minorEastAsia" w:hAnsiTheme="minorEastAsia" w:cstheme="minorEastAsia"/>
                <w:sz w:val="21"/>
                <w:szCs w:val="21"/>
              </w:rPr>
            </w:pPr>
            <w:r>
              <w:rPr>
                <w:rFonts w:hint="eastAsia" w:asciiTheme="minorEastAsia" w:hAnsiTheme="minorEastAsia" w:cstheme="minorEastAsia"/>
                <w:b/>
                <w:sz w:val="21"/>
                <w:szCs w:val="21"/>
              </w:rPr>
              <w:t>招标人：</w:t>
            </w:r>
            <w:r>
              <w:rPr>
                <w:rFonts w:hint="eastAsia" w:asciiTheme="minorEastAsia" w:hAnsiTheme="minorEastAsia" w:cstheme="minorEastAsia"/>
                <w:sz w:val="21"/>
                <w:szCs w:val="21"/>
                <w:u w:val="single"/>
              </w:rPr>
              <w:t>深圳市前海智慧</w:t>
            </w:r>
            <w:r>
              <w:rPr>
                <w:rFonts w:hint="eastAsia" w:asciiTheme="minorEastAsia" w:hAnsiTheme="minorEastAsia" w:cstheme="minorEastAsia"/>
                <w:sz w:val="21"/>
                <w:szCs w:val="21"/>
                <w:u w:val="single"/>
                <w:lang w:val="en-US" w:eastAsia="zh-CN"/>
              </w:rPr>
              <w:t>园区</w:t>
            </w:r>
            <w:r>
              <w:rPr>
                <w:rFonts w:hint="eastAsia" w:asciiTheme="minorEastAsia" w:hAnsiTheme="minorEastAsia" w:cstheme="minorEastAsia"/>
                <w:sz w:val="21"/>
                <w:szCs w:val="21"/>
                <w:u w:val="single"/>
              </w:rPr>
              <w:t>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20" w:type="dxa"/>
            <w:vAlign w:val="center"/>
          </w:tcPr>
          <w:p>
            <w:pPr>
              <w:spacing w:line="400" w:lineRule="exact"/>
              <w:jc w:val="center"/>
              <w:rPr>
                <w:rFonts w:hint="eastAsia" w:asciiTheme="minorEastAsia" w:hAnsiTheme="minorEastAsia" w:cstheme="minorEastAsia"/>
                <w:sz w:val="21"/>
                <w:szCs w:val="21"/>
              </w:rPr>
            </w:pPr>
            <w:r>
              <w:rPr>
                <w:rFonts w:hint="eastAsia" w:asciiTheme="minorEastAsia" w:hAnsiTheme="minorEastAsia" w:cstheme="minorEastAsia"/>
                <w:sz w:val="21"/>
                <w:szCs w:val="21"/>
              </w:rPr>
              <w:t>3</w:t>
            </w:r>
          </w:p>
        </w:tc>
        <w:tc>
          <w:tcPr>
            <w:tcW w:w="8197" w:type="dxa"/>
            <w:vAlign w:val="center"/>
          </w:tcPr>
          <w:p>
            <w:pPr>
              <w:spacing w:line="400" w:lineRule="exact"/>
              <w:rPr>
                <w:rFonts w:hint="eastAsia" w:asciiTheme="minorEastAsia" w:hAnsiTheme="minorEastAsia" w:cstheme="minorEastAsia"/>
                <w:b/>
                <w:sz w:val="21"/>
                <w:szCs w:val="21"/>
              </w:rPr>
            </w:pPr>
            <w:r>
              <w:rPr>
                <w:rFonts w:hint="eastAsia" w:asciiTheme="minorEastAsia" w:hAnsiTheme="minorEastAsia" w:cstheme="minorEastAsia"/>
                <w:b/>
                <w:sz w:val="21"/>
                <w:szCs w:val="21"/>
              </w:rPr>
              <w:t>工期：</w:t>
            </w:r>
            <w:r>
              <w:rPr>
                <w:rFonts w:hint="eastAsia" w:asciiTheme="minorEastAsia" w:hAnsiTheme="minorEastAsia" w:cstheme="minorEastAsia"/>
                <w:b/>
                <w:sz w:val="21"/>
                <w:szCs w:val="21"/>
                <w:u w:val="single"/>
              </w:rPr>
              <w:t xml:space="preserve"> </w:t>
            </w:r>
            <w:r>
              <w:rPr>
                <w:rFonts w:hint="eastAsia" w:asciiTheme="minorEastAsia" w:hAnsiTheme="minorEastAsia" w:cstheme="minorEastAsia"/>
                <w:b/>
                <w:sz w:val="21"/>
                <w:szCs w:val="21"/>
                <w:u w:val="single"/>
                <w:lang w:val="en-US" w:eastAsia="zh-CN"/>
              </w:rPr>
              <w:t>45</w:t>
            </w:r>
            <w:r>
              <w:rPr>
                <w:rFonts w:hint="eastAsia" w:asciiTheme="minorEastAsia" w:hAnsiTheme="minorEastAsia" w:cstheme="minorEastAsia"/>
                <w:b/>
                <w:sz w:val="21"/>
                <w:szCs w:val="21"/>
                <w:u w:val="single"/>
              </w:rPr>
              <w:t xml:space="preserve"> </w:t>
            </w:r>
            <w:r>
              <w:rPr>
                <w:rFonts w:hint="eastAsia" w:asciiTheme="minorEastAsia" w:hAnsiTheme="minorEastAsia" w:cstheme="minorEastAsia"/>
                <w:b/>
                <w:sz w:val="21"/>
                <w:szCs w:val="21"/>
              </w:rPr>
              <w:t>日历天</w:t>
            </w:r>
            <w:r>
              <w:rPr>
                <w:rFonts w:hint="eastAsia" w:asciiTheme="minorEastAsia" w:hAnsiTheme="minorEastAsia" w:cstheme="minorEastAsia"/>
                <w:sz w:val="21"/>
                <w:szCs w:val="21"/>
              </w:rPr>
              <w:t>；</w:t>
            </w:r>
            <w:r>
              <w:rPr>
                <w:rFonts w:hint="eastAsia" w:asciiTheme="minorEastAsia" w:hAnsiTheme="minorEastAsia" w:cstheme="minorEastAsia"/>
                <w:b/>
                <w:sz w:val="21"/>
                <w:szCs w:val="21"/>
              </w:rPr>
              <w:t>质量标准：</w:t>
            </w:r>
            <w:r>
              <w:rPr>
                <w:rFonts w:hint="eastAsia" w:asciiTheme="minorEastAsia" w:hAnsiTheme="minorEastAsia" w:cstheme="minorEastAsia"/>
                <w:sz w:val="21"/>
                <w:szCs w:val="21"/>
                <w:u w:val="single"/>
              </w:rPr>
              <w:t xml:space="preserve">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20" w:type="dxa"/>
            <w:vAlign w:val="center"/>
          </w:tcPr>
          <w:p>
            <w:pPr>
              <w:spacing w:line="400" w:lineRule="exact"/>
              <w:jc w:val="center"/>
              <w:rPr>
                <w:rFonts w:hint="eastAsia" w:asciiTheme="minorEastAsia" w:hAnsiTheme="minorEastAsia" w:cstheme="minorEastAsia"/>
                <w:sz w:val="21"/>
                <w:szCs w:val="21"/>
              </w:rPr>
            </w:pPr>
            <w:r>
              <w:rPr>
                <w:rFonts w:hint="eastAsia" w:asciiTheme="minorEastAsia" w:hAnsiTheme="minorEastAsia" w:cstheme="minorEastAsia"/>
                <w:sz w:val="21"/>
                <w:szCs w:val="21"/>
              </w:rPr>
              <w:t>4</w:t>
            </w:r>
          </w:p>
        </w:tc>
        <w:tc>
          <w:tcPr>
            <w:tcW w:w="8197" w:type="dxa"/>
            <w:vAlign w:val="center"/>
          </w:tcPr>
          <w:p>
            <w:pPr>
              <w:spacing w:line="400" w:lineRule="exact"/>
              <w:rPr>
                <w:rFonts w:hint="eastAsia" w:asciiTheme="minorEastAsia" w:hAnsiTheme="minorEastAsia" w:cstheme="minorEastAsia"/>
                <w:sz w:val="21"/>
                <w:szCs w:val="21"/>
              </w:rPr>
            </w:pPr>
            <w:r>
              <w:rPr>
                <w:rFonts w:hint="eastAsia" w:asciiTheme="minorEastAsia" w:hAnsiTheme="minorEastAsia" w:cstheme="minorEastAsia"/>
                <w:b/>
                <w:sz w:val="21"/>
                <w:szCs w:val="21"/>
              </w:rPr>
              <w:t>竞标有效期</w:t>
            </w:r>
            <w:r>
              <w:rPr>
                <w:rFonts w:hint="eastAsia" w:asciiTheme="minorEastAsia" w:hAnsiTheme="minorEastAsia" w:cstheme="minorEastAsia"/>
                <w:sz w:val="21"/>
                <w:szCs w:val="21"/>
              </w:rPr>
              <w:t>：竞标人提交竞标文件截止之日起</w:t>
            </w:r>
            <w:r>
              <w:rPr>
                <w:rFonts w:hint="eastAsia" w:asciiTheme="minorEastAsia" w:hAnsiTheme="minorEastAsia" w:cstheme="minorEastAsia"/>
                <w:sz w:val="21"/>
                <w:szCs w:val="21"/>
                <w:u w:val="single"/>
              </w:rPr>
              <w:t>60</w:t>
            </w:r>
            <w:r>
              <w:rPr>
                <w:rFonts w:hint="eastAsia" w:asciiTheme="minorEastAsia" w:hAnsiTheme="minorEastAsia" w:cstheme="minorEastAsia"/>
                <w:sz w:val="21"/>
                <w:szCs w:val="2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720" w:type="dxa"/>
            <w:vAlign w:val="center"/>
          </w:tcPr>
          <w:p>
            <w:pPr>
              <w:spacing w:line="400" w:lineRule="exact"/>
              <w:jc w:val="center"/>
              <w:rPr>
                <w:rFonts w:hint="eastAsia" w:asciiTheme="minorEastAsia" w:hAnsiTheme="minorEastAsia" w:cstheme="minorEastAsia"/>
                <w:sz w:val="21"/>
                <w:szCs w:val="21"/>
              </w:rPr>
            </w:pPr>
            <w:r>
              <w:rPr>
                <w:rFonts w:hint="eastAsia" w:asciiTheme="minorEastAsia" w:hAnsiTheme="minorEastAsia" w:cstheme="minorEastAsia"/>
                <w:sz w:val="21"/>
                <w:szCs w:val="21"/>
              </w:rPr>
              <w:t>5</w:t>
            </w:r>
          </w:p>
        </w:tc>
        <w:tc>
          <w:tcPr>
            <w:tcW w:w="8197" w:type="dxa"/>
            <w:vAlign w:val="center"/>
          </w:tcPr>
          <w:p>
            <w:pPr>
              <w:spacing w:line="400" w:lineRule="exact"/>
              <w:rPr>
                <w:rFonts w:hint="eastAsia" w:asciiTheme="minorEastAsia" w:hAnsiTheme="minorEastAsia" w:cstheme="minorEastAsia"/>
                <w:sz w:val="21"/>
                <w:szCs w:val="21"/>
              </w:rPr>
            </w:pPr>
            <w:r>
              <w:rPr>
                <w:rFonts w:hint="eastAsia" w:asciiTheme="minorEastAsia" w:hAnsiTheme="minorEastAsia" w:cstheme="minorEastAsia"/>
                <w:b/>
                <w:sz w:val="21"/>
                <w:szCs w:val="21"/>
              </w:rPr>
              <w:t>竞标文件份数</w:t>
            </w:r>
            <w:r>
              <w:rPr>
                <w:rFonts w:hint="eastAsia" w:asciiTheme="minorEastAsia" w:hAnsiTheme="minorEastAsia" w:cstheme="minorEastAsia"/>
                <w:sz w:val="21"/>
                <w:szCs w:val="21"/>
              </w:rPr>
              <w:t>：正本</w:t>
            </w:r>
            <w:r>
              <w:rPr>
                <w:rFonts w:hint="eastAsia" w:asciiTheme="minorEastAsia" w:hAnsiTheme="minorEastAsia" w:cstheme="minorEastAsia"/>
                <w:sz w:val="21"/>
                <w:szCs w:val="21"/>
                <w:u w:val="single"/>
              </w:rPr>
              <w:t xml:space="preserve">  </w:t>
            </w:r>
            <w:r>
              <w:rPr>
                <w:rFonts w:hint="eastAsia" w:asciiTheme="minorEastAsia" w:hAnsiTheme="minorEastAsia" w:cstheme="minorEastAsia"/>
                <w:b/>
                <w:sz w:val="21"/>
                <w:szCs w:val="21"/>
                <w:u w:val="single"/>
              </w:rPr>
              <w:t>1</w:t>
            </w:r>
            <w:r>
              <w:rPr>
                <w:rFonts w:hint="eastAsia" w:asciiTheme="minorEastAsia" w:hAnsiTheme="minorEastAsia" w:cstheme="minorEastAsia"/>
                <w:sz w:val="21"/>
                <w:szCs w:val="21"/>
                <w:u w:val="single"/>
              </w:rPr>
              <w:t xml:space="preserve">  </w:t>
            </w:r>
            <w:r>
              <w:rPr>
                <w:rFonts w:hint="eastAsia" w:asciiTheme="minorEastAsia" w:hAnsiTheme="minorEastAsia" w:cstheme="minorEastAsia"/>
                <w:sz w:val="21"/>
                <w:szCs w:val="21"/>
              </w:rPr>
              <w:t>份，副本</w:t>
            </w:r>
            <w:r>
              <w:rPr>
                <w:rFonts w:hint="eastAsia" w:asciiTheme="minorEastAsia" w:hAnsiTheme="minorEastAsia" w:cstheme="minorEastAsia"/>
                <w:sz w:val="21"/>
                <w:szCs w:val="21"/>
                <w:u w:val="single"/>
              </w:rPr>
              <w:t xml:space="preserve">   </w:t>
            </w:r>
            <w:r>
              <w:rPr>
                <w:rFonts w:hint="eastAsia" w:asciiTheme="minorEastAsia" w:hAnsiTheme="minorEastAsia" w:cstheme="minorEastAsia"/>
                <w:b/>
                <w:sz w:val="21"/>
                <w:szCs w:val="21"/>
                <w:u w:val="single"/>
              </w:rPr>
              <w:t xml:space="preserve">1 </w:t>
            </w:r>
            <w:r>
              <w:rPr>
                <w:rFonts w:hint="eastAsia" w:asciiTheme="minorEastAsia" w:hAnsiTheme="minorEastAsia" w:cstheme="minorEastAsia"/>
                <w:sz w:val="21"/>
                <w:szCs w:val="21"/>
                <w:u w:val="single"/>
              </w:rPr>
              <w:t xml:space="preserve"> </w:t>
            </w:r>
            <w:r>
              <w:rPr>
                <w:rFonts w:hint="eastAsia" w:asciiTheme="minorEastAsia" w:hAnsiTheme="minorEastAsia" w:cstheme="minorEastAsia"/>
                <w:sz w:val="21"/>
                <w:szCs w:val="21"/>
              </w:rPr>
              <w:t xml:space="preserve"> 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720" w:type="dxa"/>
            <w:vAlign w:val="center"/>
          </w:tcPr>
          <w:p>
            <w:pPr>
              <w:spacing w:line="400" w:lineRule="exact"/>
              <w:jc w:val="center"/>
              <w:rPr>
                <w:rFonts w:hint="eastAsia" w:asciiTheme="minorEastAsia" w:hAnsiTheme="minorEastAsia" w:cstheme="minorEastAsia"/>
                <w:sz w:val="21"/>
                <w:szCs w:val="21"/>
              </w:rPr>
            </w:pPr>
            <w:r>
              <w:rPr>
                <w:rFonts w:hint="eastAsia" w:asciiTheme="minorEastAsia" w:hAnsiTheme="minorEastAsia" w:cstheme="minorEastAsia"/>
                <w:sz w:val="21"/>
                <w:szCs w:val="21"/>
              </w:rPr>
              <w:t>6</w:t>
            </w:r>
          </w:p>
        </w:tc>
        <w:tc>
          <w:tcPr>
            <w:tcW w:w="8197" w:type="dxa"/>
            <w:vAlign w:val="center"/>
          </w:tcPr>
          <w:p>
            <w:pPr>
              <w:spacing w:line="400" w:lineRule="exact"/>
              <w:rPr>
                <w:rFonts w:hint="eastAsia" w:asciiTheme="minorEastAsia" w:hAnsiTheme="minorEastAsia" w:eastAsiaTheme="minorEastAsia" w:cstheme="minorEastAsia"/>
                <w:color w:val="auto"/>
                <w:sz w:val="21"/>
                <w:szCs w:val="21"/>
                <w:lang w:eastAsia="zh-CN"/>
              </w:rPr>
            </w:pPr>
            <w:r>
              <w:rPr>
                <w:rFonts w:hint="eastAsia" w:asciiTheme="minorEastAsia" w:hAnsiTheme="minorEastAsia" w:cstheme="minorEastAsia"/>
                <w:b/>
                <w:color w:val="auto"/>
                <w:sz w:val="21"/>
                <w:szCs w:val="21"/>
              </w:rPr>
              <w:t>竞标时须携带资料：</w:t>
            </w:r>
            <w:r>
              <w:rPr>
                <w:rFonts w:hint="eastAsia" w:asciiTheme="minorEastAsia" w:hAnsiTheme="minorEastAsia" w:cstheme="minorEastAsia"/>
                <w:color w:val="auto"/>
                <w:sz w:val="21"/>
                <w:szCs w:val="21"/>
              </w:rPr>
              <w:t>被邀请人须在规定的时间、地点准时参加谈判，并提供以下资料原件：竞标文件、法人代表身份证或被授权人身份证、法定代表人授权委托书、企业营业执照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720" w:type="dxa"/>
            <w:vAlign w:val="center"/>
          </w:tcPr>
          <w:p>
            <w:pPr>
              <w:spacing w:line="400" w:lineRule="exact"/>
              <w:jc w:val="center"/>
              <w:rPr>
                <w:rFonts w:hint="eastAsia" w:asciiTheme="minorEastAsia" w:hAnsiTheme="minorEastAsia" w:cstheme="minorEastAsia"/>
                <w:sz w:val="21"/>
                <w:szCs w:val="21"/>
              </w:rPr>
            </w:pPr>
            <w:r>
              <w:rPr>
                <w:rFonts w:hint="eastAsia" w:asciiTheme="minorEastAsia" w:hAnsiTheme="minorEastAsia" w:cstheme="minorEastAsia"/>
                <w:sz w:val="21"/>
                <w:szCs w:val="21"/>
              </w:rPr>
              <w:t>7</w:t>
            </w:r>
          </w:p>
        </w:tc>
        <w:tc>
          <w:tcPr>
            <w:tcW w:w="8197" w:type="dxa"/>
            <w:vAlign w:val="center"/>
          </w:tcPr>
          <w:p>
            <w:pPr>
              <w:spacing w:line="400" w:lineRule="exact"/>
              <w:rPr>
                <w:rFonts w:hint="default" w:asciiTheme="minorEastAsia" w:hAnsiTheme="minorEastAsia" w:cstheme="minorEastAsia"/>
                <w:color w:val="auto"/>
                <w:sz w:val="21"/>
                <w:szCs w:val="21"/>
                <w:lang w:val="en-US"/>
              </w:rPr>
            </w:pPr>
            <w:r>
              <w:rPr>
                <w:rFonts w:hint="eastAsia" w:asciiTheme="minorEastAsia" w:hAnsiTheme="minorEastAsia" w:cstheme="minorEastAsia"/>
                <w:b/>
                <w:color w:val="auto"/>
                <w:sz w:val="21"/>
                <w:szCs w:val="21"/>
              </w:rPr>
              <w:t>中选原则</w:t>
            </w:r>
            <w:r>
              <w:rPr>
                <w:rFonts w:hint="eastAsia" w:asciiTheme="minorEastAsia" w:hAnsiTheme="minorEastAsia" w:cstheme="minorEastAsia"/>
                <w:color w:val="auto"/>
                <w:sz w:val="21"/>
                <w:szCs w:val="21"/>
              </w:rPr>
              <w:t>：</w:t>
            </w:r>
            <w:r>
              <w:rPr>
                <w:rFonts w:hint="eastAsia" w:asciiTheme="minorEastAsia" w:hAnsiTheme="minorEastAsia" w:cstheme="minorEastAsia"/>
                <w:color w:val="auto"/>
                <w:sz w:val="21"/>
                <w:szCs w:val="21"/>
                <w:lang w:val="en-US" w:eastAsia="zh-CN"/>
              </w:rPr>
              <w:t>最高分成比例（即招标人提取的充电服务费用分成比例最高）；当竞标人给出的招标人最高分成比例相同时，工期短的为中选人；当竞标人给出的招标人最高分成比例和工期均相同时，由招标人根据竞标人的资质情况和实施方案综合评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720" w:type="dxa"/>
            <w:vAlign w:val="center"/>
          </w:tcPr>
          <w:p>
            <w:pPr>
              <w:spacing w:line="40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8</w:t>
            </w:r>
          </w:p>
        </w:tc>
        <w:tc>
          <w:tcPr>
            <w:tcW w:w="8197" w:type="dxa"/>
            <w:vAlign w:val="center"/>
          </w:tcPr>
          <w:p>
            <w:pPr>
              <w:numPr>
                <w:ilvl w:val="-1"/>
                <w:numId w:val="0"/>
              </w:numPr>
              <w:spacing w:line="400" w:lineRule="exact"/>
              <w:rPr>
                <w:rFonts w:hint="default" w:asciiTheme="minorEastAsia" w:hAnsiTheme="minorEastAsia" w:cstheme="minorEastAsia"/>
                <w:b/>
                <w:color w:val="auto"/>
                <w:sz w:val="21"/>
                <w:szCs w:val="21"/>
                <w:lang w:val="en-US" w:eastAsia="zh-CN"/>
              </w:rPr>
            </w:pPr>
            <w:r>
              <w:rPr>
                <w:rFonts w:hint="eastAsia" w:asciiTheme="minorEastAsia" w:hAnsiTheme="minorEastAsia" w:cstheme="minorEastAsia"/>
                <w:b/>
                <w:color w:val="auto"/>
                <w:sz w:val="21"/>
                <w:szCs w:val="21"/>
                <w:lang w:val="en-US" w:eastAsia="zh-CN"/>
              </w:rPr>
              <w:t>招标控制价：招标人提取的充电服务费分成比例不得低于18%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20" w:type="dxa"/>
            <w:vAlign w:val="center"/>
          </w:tcPr>
          <w:p>
            <w:pPr>
              <w:spacing w:line="40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val="en-US" w:eastAsia="zh-CN"/>
              </w:rPr>
              <w:t>9</w:t>
            </w:r>
          </w:p>
        </w:tc>
        <w:tc>
          <w:tcPr>
            <w:tcW w:w="8197" w:type="dxa"/>
            <w:vAlign w:val="center"/>
          </w:tcPr>
          <w:p>
            <w:pPr>
              <w:spacing w:line="400" w:lineRule="exact"/>
              <w:rPr>
                <w:rFonts w:hint="eastAsia" w:asciiTheme="minorEastAsia" w:hAnsiTheme="minorEastAsia" w:cstheme="minorEastAsia"/>
                <w:color w:val="auto"/>
                <w:sz w:val="21"/>
                <w:szCs w:val="21"/>
              </w:rPr>
            </w:pPr>
            <w:r>
              <w:rPr>
                <w:rFonts w:hint="eastAsia" w:asciiTheme="minorEastAsia" w:hAnsiTheme="minorEastAsia" w:cstheme="minorEastAsia"/>
                <w:sz w:val="21"/>
                <w:szCs w:val="21"/>
              </w:rPr>
              <w:t>不管竞标结果如何，竞标人均应自行承担自己竞标所需一切费用。</w:t>
            </w:r>
          </w:p>
        </w:tc>
      </w:tr>
    </w:tbl>
    <w:p>
      <w:pPr>
        <w:spacing w:line="400" w:lineRule="exact"/>
        <w:jc w:val="left"/>
        <w:rPr>
          <w:rFonts w:ascii="宋体" w:hAnsi="宋体"/>
          <w:sz w:val="24"/>
        </w:rPr>
      </w:pPr>
    </w:p>
    <w:p>
      <w:pPr>
        <w:spacing w:line="400" w:lineRule="exact"/>
        <w:jc w:val="left"/>
        <w:rPr>
          <w:rFonts w:ascii="宋体" w:hAnsi="宋体"/>
          <w:sz w:val="24"/>
        </w:rPr>
        <w:sectPr>
          <w:pgSz w:w="11906" w:h="16838"/>
          <w:pgMar w:top="1440" w:right="1800" w:bottom="1440" w:left="1800" w:header="851" w:footer="992" w:gutter="0"/>
          <w:cols w:space="425" w:num="1"/>
          <w:docGrid w:type="lines" w:linePitch="312" w:charSpace="0"/>
        </w:sectPr>
      </w:pPr>
    </w:p>
    <w:p>
      <w:pPr>
        <w:pStyle w:val="4"/>
      </w:pPr>
      <w:bookmarkStart w:id="23" w:name="_Toc10911"/>
      <w:bookmarkStart w:id="24" w:name="_Toc13282"/>
      <w:bookmarkStart w:id="25" w:name="_Toc7595"/>
      <w:r>
        <w:rPr>
          <w:rFonts w:hint="eastAsia"/>
        </w:rPr>
        <w:t>一、总 则</w:t>
      </w:r>
      <w:bookmarkEnd w:id="23"/>
      <w:bookmarkEnd w:id="24"/>
      <w:bookmarkEnd w:id="25"/>
    </w:p>
    <w:p>
      <w:pPr>
        <w:spacing w:line="400" w:lineRule="exact"/>
        <w:jc w:val="left"/>
        <w:rPr>
          <w:rFonts w:hint="eastAsia" w:ascii="宋体" w:hAnsi="宋体" w:eastAsia="宋体" w:cs="宋体"/>
          <w:sz w:val="21"/>
          <w:szCs w:val="21"/>
        </w:rPr>
      </w:pPr>
      <w:r>
        <w:rPr>
          <w:rFonts w:hint="eastAsia" w:ascii="宋体" w:hAnsi="宋体" w:eastAsia="宋体" w:cs="宋体"/>
          <w:b/>
          <w:sz w:val="21"/>
          <w:szCs w:val="21"/>
        </w:rPr>
        <w:t>（一）招标方式</w:t>
      </w:r>
    </w:p>
    <w:p>
      <w:pPr>
        <w:spacing w:line="400" w:lineRule="exact"/>
        <w:ind w:firstLine="207" w:firstLineChars="98"/>
        <w:rPr>
          <w:rFonts w:hint="eastAsia" w:ascii="宋体" w:hAnsi="宋体" w:eastAsia="宋体" w:cs="宋体"/>
          <w:sz w:val="21"/>
          <w:szCs w:val="21"/>
          <w:u w:val="single"/>
        </w:rPr>
      </w:pPr>
      <w:r>
        <w:rPr>
          <w:rFonts w:hint="eastAsia" w:ascii="宋体" w:hAnsi="宋体" w:eastAsia="宋体" w:cs="宋体"/>
          <w:b/>
          <w:sz w:val="21"/>
          <w:szCs w:val="21"/>
          <w:u w:val="single"/>
        </w:rPr>
        <w:t xml:space="preserve">   深圳市前海智慧</w:t>
      </w:r>
      <w:r>
        <w:rPr>
          <w:rFonts w:hint="eastAsia" w:ascii="宋体" w:hAnsi="宋体" w:eastAsia="宋体" w:cs="宋体"/>
          <w:b/>
          <w:sz w:val="21"/>
          <w:szCs w:val="21"/>
          <w:u w:val="single"/>
          <w:lang w:val="en-US" w:eastAsia="zh-CN"/>
        </w:rPr>
        <w:t>园区</w:t>
      </w:r>
      <w:r>
        <w:rPr>
          <w:rFonts w:hint="eastAsia" w:ascii="宋体" w:hAnsi="宋体" w:eastAsia="宋体" w:cs="宋体"/>
          <w:b/>
          <w:sz w:val="21"/>
          <w:szCs w:val="21"/>
          <w:u w:val="single"/>
        </w:rPr>
        <w:t>有限公司</w:t>
      </w:r>
      <w:r>
        <w:rPr>
          <w:rFonts w:hint="eastAsia" w:ascii="宋体" w:hAnsi="宋体" w:eastAsia="宋体" w:cs="宋体"/>
          <w:sz w:val="21"/>
          <w:szCs w:val="21"/>
        </w:rPr>
        <w:t xml:space="preserve">就 </w:t>
      </w:r>
      <w:r>
        <w:rPr>
          <w:rFonts w:hint="eastAsia" w:ascii="宋体" w:hAnsi="宋体" w:eastAsia="宋体" w:cs="宋体"/>
          <w:sz w:val="21"/>
          <w:szCs w:val="21"/>
          <w:u w:val="single"/>
        </w:rPr>
        <w:t xml:space="preserve"> </w:t>
      </w:r>
      <w:r>
        <w:rPr>
          <w:rFonts w:hint="eastAsia" w:ascii="宋体" w:hAnsi="宋体" w:eastAsia="宋体" w:cs="宋体"/>
          <w:b/>
          <w:bCs/>
          <w:sz w:val="21"/>
          <w:szCs w:val="21"/>
          <w:u w:val="single"/>
        </w:rPr>
        <w:t>前海交易广场停车场交流充电桩投资建设运营项目）</w:t>
      </w:r>
      <w:r>
        <w:rPr>
          <w:rFonts w:hint="eastAsia" w:ascii="宋体" w:hAnsi="宋体" w:eastAsia="宋体" w:cs="宋体"/>
          <w:sz w:val="21"/>
          <w:szCs w:val="21"/>
        </w:rPr>
        <w:t>组织竞争性谈判。</w:t>
      </w:r>
    </w:p>
    <w:p>
      <w:pPr>
        <w:spacing w:line="400" w:lineRule="exact"/>
        <w:jc w:val="left"/>
        <w:rPr>
          <w:rFonts w:hint="eastAsia" w:ascii="宋体" w:hAnsi="宋体" w:eastAsia="宋体" w:cs="宋体"/>
          <w:b/>
          <w:sz w:val="21"/>
          <w:szCs w:val="21"/>
        </w:rPr>
      </w:pPr>
      <w:r>
        <w:rPr>
          <w:rFonts w:hint="eastAsia" w:ascii="宋体" w:hAnsi="宋体" w:eastAsia="宋体" w:cs="宋体"/>
          <w:b/>
          <w:sz w:val="21"/>
          <w:szCs w:val="21"/>
        </w:rPr>
        <w:t>（二）合格的投标人</w:t>
      </w:r>
    </w:p>
    <w:p>
      <w:pPr>
        <w:spacing w:line="400" w:lineRule="exact"/>
        <w:ind w:firstLine="411" w:firstLineChars="196"/>
        <w:jc w:val="left"/>
        <w:rPr>
          <w:rFonts w:hint="eastAsia" w:ascii="宋体" w:hAnsi="宋体" w:eastAsia="宋体" w:cs="宋体"/>
          <w:b/>
          <w:sz w:val="21"/>
          <w:szCs w:val="21"/>
          <w:u w:val="single"/>
        </w:rPr>
      </w:pPr>
      <w:r>
        <w:rPr>
          <w:rFonts w:hint="eastAsia" w:ascii="宋体" w:hAnsi="宋体" w:eastAsia="宋体" w:cs="宋体"/>
          <w:sz w:val="21"/>
          <w:szCs w:val="21"/>
        </w:rPr>
        <w:t>1、合格的投标人必须是有能力按照本招标文件规定的要求提供招标项目设备，进行项目相关服务，且具有独立承担民事等法律责任的法人或其它经济组织，</w:t>
      </w:r>
      <w:r>
        <w:rPr>
          <w:rFonts w:hint="eastAsia" w:ascii="宋体" w:hAnsi="宋体" w:eastAsia="宋体" w:cs="宋体"/>
          <w:sz w:val="21"/>
          <w:szCs w:val="21"/>
          <w:u w:val="single"/>
        </w:rPr>
        <w:t xml:space="preserve">  </w:t>
      </w:r>
      <w:r>
        <w:rPr>
          <w:rFonts w:hint="eastAsia" w:ascii="宋体" w:hAnsi="宋体" w:eastAsia="宋体" w:cs="宋体"/>
          <w:b/>
          <w:sz w:val="21"/>
          <w:szCs w:val="21"/>
          <w:u w:val="single"/>
        </w:rPr>
        <w:t xml:space="preserve">本次招标不接受联合体投标  </w:t>
      </w:r>
      <w:r>
        <w:rPr>
          <w:rFonts w:hint="eastAsia" w:ascii="宋体" w:hAnsi="宋体" w:eastAsia="宋体" w:cs="宋体"/>
          <w:b/>
          <w:sz w:val="21"/>
          <w:szCs w:val="21"/>
        </w:rPr>
        <w:t>。</w:t>
      </w:r>
    </w:p>
    <w:p>
      <w:pPr>
        <w:spacing w:line="400" w:lineRule="exact"/>
        <w:ind w:firstLine="411" w:firstLineChars="196"/>
        <w:rPr>
          <w:rFonts w:hint="eastAsia" w:ascii="宋体" w:hAnsi="宋体" w:eastAsia="宋体" w:cs="宋体"/>
          <w:sz w:val="21"/>
          <w:szCs w:val="21"/>
        </w:rPr>
      </w:pPr>
      <w:r>
        <w:rPr>
          <w:rFonts w:hint="eastAsia" w:ascii="宋体" w:hAnsi="宋体" w:eastAsia="宋体" w:cs="宋体"/>
          <w:sz w:val="21"/>
          <w:szCs w:val="21"/>
        </w:rPr>
        <w:t>2、合格的投标人必须符合招标文件第一部分《竞争性谈判</w:t>
      </w:r>
      <w:r>
        <w:rPr>
          <w:rFonts w:hint="eastAsia" w:ascii="宋体" w:hAnsi="宋体" w:eastAsia="宋体" w:cs="宋体"/>
          <w:sz w:val="21"/>
          <w:szCs w:val="21"/>
          <w:lang w:val="en-US" w:eastAsia="zh-CN"/>
        </w:rPr>
        <w:t>公告</w:t>
      </w:r>
      <w:r>
        <w:rPr>
          <w:rFonts w:hint="eastAsia" w:ascii="宋体" w:hAnsi="宋体" w:eastAsia="宋体" w:cs="宋体"/>
          <w:sz w:val="21"/>
          <w:szCs w:val="21"/>
        </w:rPr>
        <w:t>》第四条规定，且具备独立完成</w:t>
      </w:r>
      <w:r>
        <w:rPr>
          <w:rFonts w:hint="eastAsia" w:ascii="宋体" w:hAnsi="宋体" w:eastAsia="宋体" w:cs="宋体"/>
          <w:sz w:val="21"/>
          <w:szCs w:val="21"/>
          <w:u w:val="single"/>
        </w:rPr>
        <w:t xml:space="preserve">  </w:t>
      </w:r>
      <w:r>
        <w:rPr>
          <w:rFonts w:hint="eastAsia" w:ascii="宋体" w:hAnsi="宋体" w:eastAsia="宋体" w:cs="宋体"/>
          <w:b/>
          <w:bCs/>
          <w:szCs w:val="21"/>
          <w:u w:val="single"/>
        </w:rPr>
        <w:t>前海交易广场停车场交流充电桩投资建设运营项目</w:t>
      </w:r>
      <w:r>
        <w:rPr>
          <w:rFonts w:hint="eastAsia" w:ascii="宋体" w:hAnsi="宋体" w:eastAsia="宋体" w:cs="宋体"/>
          <w:b/>
          <w:sz w:val="21"/>
          <w:szCs w:val="21"/>
          <w:u w:val="single"/>
        </w:rPr>
        <w:t xml:space="preserve">  </w:t>
      </w:r>
      <w:r>
        <w:rPr>
          <w:rFonts w:hint="eastAsia" w:ascii="宋体" w:hAnsi="宋体" w:eastAsia="宋体" w:cs="宋体"/>
          <w:sz w:val="21"/>
          <w:szCs w:val="21"/>
        </w:rPr>
        <w:t>工程的</w:t>
      </w:r>
      <w:r>
        <w:rPr>
          <w:rFonts w:hint="eastAsia" w:ascii="宋体" w:hAnsi="宋体" w:eastAsia="宋体" w:cs="宋体"/>
          <w:kern w:val="10"/>
          <w:sz w:val="21"/>
          <w:szCs w:val="21"/>
        </w:rPr>
        <w:t>能</w:t>
      </w:r>
      <w:r>
        <w:rPr>
          <w:rFonts w:hint="eastAsia" w:ascii="宋体" w:hAnsi="宋体" w:eastAsia="宋体" w:cs="宋体"/>
          <w:sz w:val="21"/>
          <w:szCs w:val="21"/>
        </w:rPr>
        <w:t>力，中标后不允许分包、转包。</w:t>
      </w:r>
    </w:p>
    <w:p>
      <w:pPr>
        <w:spacing w:line="40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rPr>
        <w:t>3、合格的投标人应遵守</w:t>
      </w:r>
      <w:r>
        <w:rPr>
          <w:rFonts w:hint="eastAsia" w:ascii="宋体" w:hAnsi="宋体" w:eastAsia="宋体" w:cs="宋体"/>
          <w:color w:val="000000"/>
          <w:sz w:val="21"/>
          <w:szCs w:val="21"/>
        </w:rPr>
        <w:t>中华人民共和国《招投标法》、《</w:t>
      </w:r>
      <w:r>
        <w:rPr>
          <w:rFonts w:hint="eastAsia" w:ascii="宋体" w:hAnsi="宋体" w:eastAsia="宋体" w:cs="宋体"/>
          <w:color w:val="000000"/>
          <w:sz w:val="21"/>
          <w:szCs w:val="21"/>
          <w:lang w:val="en-US" w:eastAsia="zh-CN"/>
        </w:rPr>
        <w:t>民法典</w:t>
      </w:r>
      <w:r>
        <w:rPr>
          <w:rFonts w:hint="eastAsia" w:ascii="宋体" w:hAnsi="宋体" w:eastAsia="宋体" w:cs="宋体"/>
          <w:color w:val="000000"/>
          <w:sz w:val="21"/>
          <w:szCs w:val="21"/>
        </w:rPr>
        <w:t>》和《反不正当竞争法》等有关法律、法规</w:t>
      </w:r>
      <w:r>
        <w:rPr>
          <w:rFonts w:hint="eastAsia" w:ascii="宋体" w:hAnsi="宋体" w:eastAsia="宋体" w:cs="宋体"/>
          <w:sz w:val="21"/>
          <w:szCs w:val="21"/>
        </w:rPr>
        <w:t>。</w:t>
      </w:r>
    </w:p>
    <w:p>
      <w:pPr>
        <w:spacing w:line="400" w:lineRule="exact"/>
        <w:jc w:val="left"/>
        <w:rPr>
          <w:rFonts w:hint="eastAsia" w:ascii="宋体" w:hAnsi="宋体" w:eastAsia="宋体" w:cs="宋体"/>
          <w:sz w:val="21"/>
          <w:szCs w:val="21"/>
        </w:rPr>
      </w:pPr>
      <w:r>
        <w:rPr>
          <w:rFonts w:hint="eastAsia" w:ascii="宋体" w:hAnsi="宋体" w:eastAsia="宋体" w:cs="宋体"/>
          <w:b/>
          <w:sz w:val="21"/>
          <w:szCs w:val="21"/>
        </w:rPr>
        <w:t>（三）适用法律</w:t>
      </w:r>
    </w:p>
    <w:p>
      <w:pPr>
        <w:pStyle w:val="8"/>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本次谈判及由本次谈判产生的合同受中华人民共和国的相关法律、法规制约和保护。</w:t>
      </w:r>
    </w:p>
    <w:p>
      <w:pPr>
        <w:spacing w:line="400" w:lineRule="exact"/>
        <w:jc w:val="left"/>
        <w:rPr>
          <w:rFonts w:hint="eastAsia" w:ascii="宋体" w:hAnsi="宋体" w:eastAsia="宋体" w:cs="宋体"/>
          <w:sz w:val="21"/>
          <w:szCs w:val="21"/>
        </w:rPr>
      </w:pPr>
      <w:r>
        <w:rPr>
          <w:rFonts w:hint="eastAsia" w:ascii="宋体" w:hAnsi="宋体" w:eastAsia="宋体" w:cs="宋体"/>
          <w:b/>
          <w:sz w:val="21"/>
          <w:szCs w:val="21"/>
        </w:rPr>
        <w:t>（四）竞争性谈判费用</w:t>
      </w:r>
    </w:p>
    <w:p>
      <w:pPr>
        <w:spacing w:line="40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rPr>
        <w:t>竞标投标人应自行承担所有参加谈判有关的费用。</w:t>
      </w:r>
    </w:p>
    <w:p>
      <w:pPr>
        <w:spacing w:line="400" w:lineRule="exact"/>
        <w:jc w:val="left"/>
        <w:rPr>
          <w:rFonts w:hint="eastAsia" w:ascii="宋体" w:hAnsi="宋体" w:eastAsia="宋体" w:cs="宋体"/>
          <w:sz w:val="21"/>
          <w:szCs w:val="21"/>
        </w:rPr>
      </w:pPr>
      <w:r>
        <w:rPr>
          <w:rFonts w:hint="eastAsia" w:ascii="宋体" w:hAnsi="宋体" w:eastAsia="宋体" w:cs="宋体"/>
          <w:b/>
          <w:sz w:val="21"/>
          <w:szCs w:val="21"/>
        </w:rPr>
        <w:t>（五）谈判文件的约束力</w:t>
      </w:r>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竞标投标人参与本谈判文件并参加本项目竞标，即被认为接受了本谈判文件中的所有条件和规定。</w:t>
      </w:r>
    </w:p>
    <w:p>
      <w:pPr>
        <w:spacing w:line="400" w:lineRule="exact"/>
        <w:jc w:val="left"/>
        <w:rPr>
          <w:rFonts w:hint="eastAsia" w:ascii="宋体" w:hAnsi="宋体" w:eastAsia="宋体" w:cs="宋体"/>
          <w:sz w:val="21"/>
          <w:szCs w:val="21"/>
        </w:rPr>
      </w:pPr>
      <w:r>
        <w:rPr>
          <w:rFonts w:hint="eastAsia" w:ascii="宋体" w:hAnsi="宋体" w:eastAsia="宋体" w:cs="宋体"/>
          <w:b/>
          <w:sz w:val="21"/>
          <w:szCs w:val="21"/>
        </w:rPr>
        <w:t>（六）谈判文件构成</w:t>
      </w:r>
    </w:p>
    <w:p>
      <w:pPr>
        <w:spacing w:line="400" w:lineRule="exact"/>
        <w:ind w:firstLine="210" w:firstLineChars="1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（1）竞争性谈判公告；</w:t>
      </w:r>
    </w:p>
    <w:p>
      <w:pPr>
        <w:pStyle w:val="2"/>
        <w:ind w:firstLine="210" w:firstLineChars="100"/>
        <w:rPr>
          <w:rFonts w:hint="default" w:eastAsia="宋体"/>
          <w:lang w:val="en-US" w:eastAsia="zh-CN"/>
        </w:rPr>
      </w:pP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招标需求</w:t>
      </w:r>
    </w:p>
    <w:p>
      <w:pPr>
        <w:spacing w:line="400" w:lineRule="exact"/>
        <w:ind w:firstLine="210" w:firstLineChars="1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）竞争性谈判须知；</w:t>
      </w:r>
    </w:p>
    <w:p>
      <w:pPr>
        <w:spacing w:line="400" w:lineRule="exact"/>
        <w:ind w:firstLine="210" w:firstLineChars="100"/>
        <w:jc w:val="left"/>
        <w:rPr>
          <w:rFonts w:hint="default" w:ascii="宋体" w:hAnsi="宋体" w:eastAsia="宋体" w:cs="宋体"/>
          <w:sz w:val="21"/>
          <w:szCs w:val="21"/>
          <w:highlight w:val="none"/>
          <w:lang w:val="en-US"/>
        </w:rPr>
      </w:pP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合同模板；</w:t>
      </w:r>
    </w:p>
    <w:p>
      <w:pPr>
        <w:spacing w:line="400" w:lineRule="exact"/>
        <w:ind w:firstLine="210" w:firstLineChars="100"/>
        <w:jc w:val="left"/>
        <w:rPr>
          <w:rFonts w:hint="eastAsia" w:ascii="宋体" w:hAnsi="宋体" w:eastAsia="宋体" w:cs="宋体"/>
          <w:sz w:val="21"/>
          <w:szCs w:val="21"/>
          <w:highlight w:val="yellow"/>
          <w:lang w:eastAsia="zh-CN"/>
        </w:rPr>
      </w:pPr>
      <w:r>
        <w:rPr>
          <w:rFonts w:hint="eastAsia" w:ascii="宋体" w:hAnsi="宋体" w:eastAsia="宋体" w:cs="宋体"/>
          <w:sz w:val="21"/>
          <w:szCs w:val="21"/>
          <w:highlight w:val="none"/>
          <w:lang w:val="en-US" w:eastAsia="zh-CN"/>
        </w:rPr>
        <w:t>（5）谈判相应文件格式。</w:t>
      </w:r>
    </w:p>
    <w:p>
      <w:pPr>
        <w:pStyle w:val="4"/>
      </w:pPr>
      <w:bookmarkStart w:id="26" w:name="_Toc28684"/>
      <w:bookmarkStart w:id="27" w:name="_Toc10045"/>
      <w:bookmarkStart w:id="28" w:name="_Toc21188"/>
      <w:r>
        <w:rPr>
          <w:rFonts w:hint="eastAsia"/>
        </w:rPr>
        <w:t>二、竞标文件的编制</w:t>
      </w:r>
      <w:bookmarkEnd w:id="26"/>
      <w:bookmarkEnd w:id="27"/>
      <w:bookmarkEnd w:id="28"/>
    </w:p>
    <w:p>
      <w:pPr>
        <w:spacing w:line="400" w:lineRule="exact"/>
        <w:jc w:val="left"/>
        <w:rPr>
          <w:rFonts w:hint="eastAsia" w:ascii="宋体" w:hAnsi="宋体" w:eastAsia="宋体" w:cs="宋体"/>
          <w:b/>
          <w:sz w:val="21"/>
          <w:szCs w:val="21"/>
        </w:rPr>
      </w:pPr>
      <w:r>
        <w:rPr>
          <w:rFonts w:hint="eastAsia" w:ascii="宋体" w:hAnsi="宋体" w:eastAsia="宋体" w:cs="宋体"/>
          <w:b/>
          <w:sz w:val="21"/>
          <w:szCs w:val="21"/>
        </w:rPr>
        <w:t>（七）竞标文件的编制要求</w:t>
      </w:r>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竞标人应仔细阅读“谈判文件”的所有内容，按“谈判文件”的要求编制“竞标文件”，并保证所提供的全部资料的真实性、完整性及有效性，以使其投标对“谈判文件”作出实质性响应。否则，可能被拒绝。</w:t>
      </w:r>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2、竞标人提交的投标文件应使用中文。</w:t>
      </w:r>
    </w:p>
    <w:p>
      <w:pPr>
        <w:spacing w:line="400" w:lineRule="exact"/>
        <w:ind w:firstLine="411" w:firstLineChars="196"/>
        <w:rPr>
          <w:rFonts w:hint="eastAsia" w:ascii="宋体" w:hAnsi="宋体" w:eastAsia="宋体" w:cs="宋体"/>
          <w:sz w:val="21"/>
          <w:szCs w:val="21"/>
        </w:rPr>
      </w:pPr>
      <w:r>
        <w:rPr>
          <w:rFonts w:hint="eastAsia" w:ascii="宋体" w:hAnsi="宋体" w:eastAsia="宋体" w:cs="宋体"/>
          <w:sz w:val="21"/>
          <w:szCs w:val="21"/>
        </w:rPr>
        <w:t>3、竞标文件所使用的度量衡单位，除技术性能中另有规定外，一律使用公制计量单位。</w:t>
      </w:r>
    </w:p>
    <w:p>
      <w:pPr>
        <w:spacing w:line="400" w:lineRule="exact"/>
        <w:jc w:val="left"/>
        <w:rPr>
          <w:rFonts w:hint="eastAsia" w:ascii="宋体" w:hAnsi="宋体" w:eastAsia="宋体" w:cs="宋体"/>
          <w:sz w:val="21"/>
          <w:szCs w:val="21"/>
        </w:rPr>
      </w:pPr>
      <w:r>
        <w:rPr>
          <w:rFonts w:hint="eastAsia" w:ascii="宋体" w:hAnsi="宋体" w:eastAsia="宋体" w:cs="宋体"/>
          <w:b/>
          <w:sz w:val="21"/>
          <w:szCs w:val="21"/>
        </w:rPr>
        <w:t>（八）竞标文件构成</w:t>
      </w:r>
    </w:p>
    <w:p>
      <w:pPr>
        <w:spacing w:line="40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rPr>
        <w:t>谈判响应文件商务部分主要包括下列内容。</w:t>
      </w:r>
    </w:p>
    <w:p>
      <w:pPr>
        <w:spacing w:line="400" w:lineRule="exact"/>
        <w:ind w:firstLine="420" w:firstLineChars="200"/>
        <w:jc w:val="left"/>
        <w:rPr>
          <w:rFonts w:hint="eastAsia" w:ascii="宋体" w:hAnsi="宋体" w:eastAsia="宋体" w:cs="宋体"/>
          <w:sz w:val="21"/>
          <w:szCs w:val="21"/>
          <w:lang w:val="en-US" w:eastAsia="zh-CN"/>
        </w:rPr>
      </w:pPr>
      <w:r>
        <w:rPr>
          <w:rFonts w:hint="eastAsia" w:ascii="宋体" w:hAnsi="宋体" w:eastAsia="宋体" w:cs="宋体"/>
          <w:sz w:val="21"/>
          <w:szCs w:val="21"/>
        </w:rPr>
        <w:t>（</w:t>
      </w:r>
      <w:r>
        <w:rPr>
          <w:rFonts w:hint="eastAsia" w:ascii="宋体" w:hAnsi="宋体" w:eastAsia="宋体" w:cs="宋体"/>
          <w:sz w:val="21"/>
          <w:szCs w:val="21"/>
          <w:lang w:eastAsia="zh-CN"/>
        </w:rPr>
        <w:t>1</w:t>
      </w:r>
      <w:r>
        <w:rPr>
          <w:rFonts w:hint="eastAsia" w:ascii="宋体" w:hAnsi="宋体" w:eastAsia="宋体" w:cs="宋体"/>
          <w:sz w:val="21"/>
          <w:szCs w:val="21"/>
        </w:rPr>
        <w:t>）</w:t>
      </w:r>
      <w:r>
        <w:rPr>
          <w:rFonts w:hint="eastAsia" w:ascii="宋体" w:hAnsi="宋体" w:eastAsia="宋体" w:cs="宋体"/>
          <w:sz w:val="21"/>
          <w:szCs w:val="21"/>
          <w:lang w:val="en-US" w:eastAsia="zh-CN"/>
        </w:rPr>
        <w:t>应答书</w:t>
      </w:r>
    </w:p>
    <w:p>
      <w:pPr>
        <w:spacing w:line="40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w:t>
      </w:r>
      <w:r>
        <w:rPr>
          <w:rFonts w:hint="eastAsia" w:ascii="宋体" w:hAnsi="宋体" w:eastAsia="宋体" w:cs="宋体"/>
          <w:sz w:val="21"/>
          <w:szCs w:val="21"/>
        </w:rPr>
        <w:t>法定代表人身份证明书</w:t>
      </w:r>
    </w:p>
    <w:p>
      <w:pPr>
        <w:spacing w:line="40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3</w:t>
      </w:r>
      <w:r>
        <w:rPr>
          <w:rFonts w:hint="eastAsia" w:ascii="宋体" w:hAnsi="宋体" w:eastAsia="宋体" w:cs="宋体"/>
          <w:sz w:val="21"/>
          <w:szCs w:val="21"/>
        </w:rPr>
        <w:t>）授权委托书</w:t>
      </w:r>
    </w:p>
    <w:p>
      <w:pPr>
        <w:spacing w:line="400" w:lineRule="exact"/>
        <w:ind w:firstLine="420" w:firstLineChars="200"/>
        <w:jc w:val="left"/>
        <w:rPr>
          <w:rFonts w:hint="default"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4</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资格审查资料</w:t>
      </w:r>
    </w:p>
    <w:p>
      <w:pPr>
        <w:spacing w:line="40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5</w:t>
      </w:r>
      <w:r>
        <w:rPr>
          <w:rFonts w:hint="eastAsia" w:ascii="宋体" w:hAnsi="宋体" w:eastAsia="宋体" w:cs="宋体"/>
          <w:sz w:val="21"/>
          <w:szCs w:val="21"/>
        </w:rPr>
        <w:t>）谈判响应文件要求提交的其他资料</w:t>
      </w:r>
    </w:p>
    <w:p>
      <w:pPr>
        <w:spacing w:line="40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rPr>
        <w:t>谈判响应文件技术部分主要包括以下内容</w:t>
      </w:r>
    </w:p>
    <w:p>
      <w:pPr>
        <w:spacing w:line="400" w:lineRule="exact"/>
        <w:ind w:firstLine="420" w:firstLineChars="200"/>
        <w:jc w:val="left"/>
        <w:rPr>
          <w:rFonts w:hint="eastAsia" w:ascii="宋体" w:hAnsi="宋体" w:eastAsia="宋体" w:cs="宋体"/>
          <w:sz w:val="21"/>
          <w:szCs w:val="21"/>
          <w:lang w:val="en-US" w:eastAsia="zh-CN"/>
        </w:rPr>
      </w:pPr>
      <w:r>
        <w:rPr>
          <w:rFonts w:hint="eastAsia" w:ascii="宋体" w:hAnsi="宋体" w:eastAsia="宋体" w:cs="宋体"/>
          <w:sz w:val="21"/>
          <w:szCs w:val="21"/>
        </w:rPr>
        <w:t>（1）施工</w:t>
      </w:r>
      <w:r>
        <w:rPr>
          <w:rFonts w:hint="eastAsia" w:ascii="宋体" w:hAnsi="宋体" w:eastAsia="宋体" w:cs="宋体"/>
          <w:sz w:val="21"/>
          <w:szCs w:val="21"/>
          <w:lang w:val="en-US" w:eastAsia="zh-CN"/>
        </w:rPr>
        <w:t>方案（包括拟使用的充电桩品牌及主要技术参数、电缆桥架品牌及主要技术参数、</w:t>
      </w:r>
      <w:r>
        <w:rPr>
          <w:rFonts w:hint="eastAsia" w:ascii="宋体" w:hAnsi="宋体" w:eastAsia="宋体" w:cs="宋体"/>
          <w:sz w:val="21"/>
          <w:szCs w:val="21"/>
        </w:rPr>
        <w:t>劳动力安排计划表</w:t>
      </w:r>
      <w:r>
        <w:rPr>
          <w:rFonts w:hint="eastAsia" w:ascii="宋体" w:hAnsi="宋体" w:eastAsia="宋体" w:cs="宋体"/>
          <w:sz w:val="21"/>
          <w:szCs w:val="21"/>
          <w:lang w:eastAsia="zh-CN"/>
        </w:rPr>
        <w:t>、</w:t>
      </w:r>
      <w:r>
        <w:rPr>
          <w:rFonts w:hint="eastAsia" w:ascii="宋体" w:hAnsi="宋体" w:eastAsia="宋体" w:cs="宋体"/>
          <w:sz w:val="21"/>
          <w:szCs w:val="21"/>
        </w:rPr>
        <w:t>施工进度网络图或施工进度表</w:t>
      </w:r>
      <w:r>
        <w:rPr>
          <w:rFonts w:hint="eastAsia" w:ascii="宋体" w:hAnsi="宋体" w:eastAsia="宋体" w:cs="宋体"/>
          <w:sz w:val="21"/>
          <w:szCs w:val="21"/>
          <w:lang w:eastAsia="zh-CN"/>
        </w:rPr>
        <w:t>、</w:t>
      </w:r>
      <w:r>
        <w:rPr>
          <w:rFonts w:hint="eastAsia" w:ascii="宋体" w:hAnsi="宋体" w:eastAsia="宋体" w:cs="宋体"/>
          <w:sz w:val="21"/>
          <w:szCs w:val="21"/>
        </w:rPr>
        <w:t>工程质量保证措施</w:t>
      </w:r>
      <w:r>
        <w:rPr>
          <w:rFonts w:hint="eastAsia" w:ascii="宋体" w:hAnsi="宋体" w:eastAsia="宋体" w:cs="宋体"/>
          <w:sz w:val="21"/>
          <w:szCs w:val="21"/>
          <w:lang w:eastAsia="zh-CN"/>
        </w:rPr>
        <w:t>、</w:t>
      </w:r>
      <w:r>
        <w:rPr>
          <w:rFonts w:hint="eastAsia" w:ascii="宋体" w:hAnsi="宋体" w:eastAsia="宋体" w:cs="宋体"/>
          <w:sz w:val="21"/>
          <w:szCs w:val="21"/>
        </w:rPr>
        <w:t>安全生产保证措施</w:t>
      </w:r>
      <w:r>
        <w:rPr>
          <w:rFonts w:hint="eastAsia" w:ascii="宋体" w:hAnsi="宋体" w:eastAsia="宋体" w:cs="宋体"/>
          <w:sz w:val="21"/>
          <w:szCs w:val="21"/>
          <w:lang w:eastAsia="zh-CN"/>
        </w:rPr>
        <w:t>、</w:t>
      </w:r>
      <w:r>
        <w:rPr>
          <w:rFonts w:hint="eastAsia" w:ascii="宋体" w:hAnsi="宋体" w:eastAsia="宋体" w:cs="宋体"/>
          <w:sz w:val="21"/>
          <w:szCs w:val="21"/>
        </w:rPr>
        <w:t>文明施工保证措施</w:t>
      </w:r>
      <w:r>
        <w:rPr>
          <w:rFonts w:hint="eastAsia" w:ascii="宋体" w:hAnsi="宋体" w:eastAsia="宋体" w:cs="宋体"/>
          <w:sz w:val="21"/>
          <w:szCs w:val="21"/>
          <w:lang w:val="en-US" w:eastAsia="zh-CN"/>
        </w:rPr>
        <w:t>等）</w:t>
      </w:r>
    </w:p>
    <w:p>
      <w:pPr>
        <w:spacing w:line="40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2</w:t>
      </w:r>
      <w:r>
        <w:rPr>
          <w:rFonts w:hint="eastAsia" w:ascii="宋体" w:hAnsi="宋体" w:eastAsia="宋体" w:cs="宋体"/>
          <w:sz w:val="21"/>
          <w:szCs w:val="21"/>
        </w:rPr>
        <w:t>）谈判响应文件要求提交的其他资料</w:t>
      </w:r>
    </w:p>
    <w:p>
      <w:pPr>
        <w:spacing w:line="400" w:lineRule="exact"/>
        <w:ind w:firstLine="601"/>
        <w:jc w:val="left"/>
        <w:rPr>
          <w:rFonts w:hint="eastAsia" w:ascii="宋体" w:hAnsi="宋体" w:eastAsia="宋体" w:cs="宋体"/>
          <w:b/>
          <w:sz w:val="21"/>
          <w:szCs w:val="21"/>
          <w:u w:val="single"/>
        </w:rPr>
      </w:pPr>
      <w:r>
        <w:rPr>
          <w:rFonts w:hint="eastAsia" w:ascii="宋体" w:hAnsi="宋体" w:eastAsia="宋体" w:cs="宋体"/>
          <w:b/>
          <w:sz w:val="21"/>
          <w:szCs w:val="21"/>
          <w:u w:val="single"/>
        </w:rPr>
        <w:t>注：以上材料须加盖单位公章，竞标人应将投标文件按上述顺序装订成册。</w:t>
      </w:r>
    </w:p>
    <w:p>
      <w:pPr>
        <w:spacing w:line="400" w:lineRule="exact"/>
        <w:ind w:firstLine="527" w:firstLineChars="250"/>
        <w:jc w:val="left"/>
        <w:rPr>
          <w:rFonts w:hint="eastAsia" w:ascii="宋体" w:hAnsi="宋体" w:eastAsia="宋体" w:cs="宋体"/>
          <w:b/>
          <w:sz w:val="21"/>
          <w:szCs w:val="21"/>
          <w:u w:val="single"/>
        </w:rPr>
      </w:pPr>
      <w:r>
        <w:rPr>
          <w:rFonts w:hint="eastAsia" w:ascii="宋体" w:hAnsi="宋体" w:eastAsia="宋体" w:cs="宋体"/>
          <w:b/>
          <w:sz w:val="21"/>
          <w:szCs w:val="21"/>
          <w:u w:val="single"/>
        </w:rPr>
        <w:t>除特别说明外，全套投标文件的书面部分均使用A4规格纸张无线胶装方式装订，不得采用活页夹等可随时拆换的方式装订，不提倡豪华装订</w:t>
      </w:r>
      <w:r>
        <w:rPr>
          <w:rFonts w:hint="eastAsia" w:ascii="宋体" w:hAnsi="宋体" w:eastAsia="宋体" w:cs="宋体"/>
          <w:b/>
          <w:sz w:val="21"/>
          <w:szCs w:val="21"/>
        </w:rPr>
        <w:t>。</w:t>
      </w:r>
    </w:p>
    <w:p>
      <w:pPr>
        <w:spacing w:line="400" w:lineRule="exact"/>
        <w:jc w:val="left"/>
        <w:rPr>
          <w:rFonts w:hint="eastAsia" w:ascii="宋体" w:hAnsi="宋体" w:eastAsia="宋体" w:cs="宋体"/>
          <w:sz w:val="21"/>
          <w:szCs w:val="21"/>
        </w:rPr>
      </w:pPr>
      <w:r>
        <w:rPr>
          <w:rFonts w:hint="eastAsia" w:ascii="宋体" w:hAnsi="宋体" w:eastAsia="宋体" w:cs="宋体"/>
          <w:b/>
          <w:sz w:val="21"/>
          <w:szCs w:val="21"/>
        </w:rPr>
        <w:t>（九）竞标文件格式</w:t>
      </w:r>
    </w:p>
    <w:p>
      <w:pPr>
        <w:spacing w:line="40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rPr>
        <w:t>竞标投标人应按照上述竞标文件构成顺序编制《谈判文件》，并按谈判文件中提供的格式填写竞标函、授权委托书、谈判报价一览表等材料。</w:t>
      </w:r>
    </w:p>
    <w:p>
      <w:pPr>
        <w:spacing w:line="400" w:lineRule="exact"/>
        <w:jc w:val="left"/>
        <w:rPr>
          <w:rFonts w:hint="eastAsia" w:ascii="宋体" w:hAnsi="宋体" w:eastAsia="宋体" w:cs="宋体"/>
          <w:sz w:val="21"/>
          <w:szCs w:val="21"/>
        </w:rPr>
      </w:pPr>
      <w:r>
        <w:rPr>
          <w:rFonts w:hint="eastAsia" w:ascii="宋体" w:hAnsi="宋体" w:eastAsia="宋体" w:cs="宋体"/>
          <w:b/>
          <w:sz w:val="21"/>
          <w:szCs w:val="21"/>
        </w:rPr>
        <w:t>（十）竞标报价</w:t>
      </w:r>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1、本项目报价为二次报价，竞标投标人竞标文件中的报价作为第一次报价，不公开；成交价以最终报价为准。</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2、竞标人报价时应充分考虑所有可能影响到报价的价格因素，中标价即为合同价，但不等于最终结算价，最终结算价以审计核定的结果为准。</w:t>
      </w:r>
    </w:p>
    <w:p>
      <w:pPr>
        <w:spacing w:line="400" w:lineRule="exact"/>
        <w:jc w:val="left"/>
        <w:rPr>
          <w:rFonts w:hint="eastAsia" w:ascii="宋体" w:hAnsi="宋体" w:eastAsia="宋体" w:cs="宋体"/>
          <w:sz w:val="21"/>
          <w:szCs w:val="21"/>
        </w:rPr>
      </w:pPr>
      <w:r>
        <w:rPr>
          <w:rFonts w:hint="eastAsia" w:ascii="宋体" w:hAnsi="宋体" w:eastAsia="宋体" w:cs="宋体"/>
          <w:b/>
          <w:sz w:val="21"/>
          <w:szCs w:val="21"/>
        </w:rPr>
        <w:t>（十一）竞标有效期</w:t>
      </w:r>
    </w:p>
    <w:p>
      <w:pPr>
        <w:spacing w:line="40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rPr>
        <w:t>竞标有效期为竞标人提交竞标文件截止之日起</w:t>
      </w:r>
      <w:r>
        <w:rPr>
          <w:rFonts w:hint="eastAsia" w:ascii="宋体" w:hAnsi="宋体" w:eastAsia="宋体" w:cs="宋体"/>
          <w:b/>
          <w:sz w:val="21"/>
          <w:szCs w:val="21"/>
          <w:u w:val="single"/>
        </w:rPr>
        <w:t>60</w:t>
      </w:r>
      <w:r>
        <w:rPr>
          <w:rFonts w:hint="eastAsia" w:ascii="宋体" w:hAnsi="宋体" w:eastAsia="宋体" w:cs="宋体"/>
          <w:sz w:val="21"/>
          <w:szCs w:val="21"/>
        </w:rPr>
        <w:t>天。</w:t>
      </w:r>
    </w:p>
    <w:p>
      <w:pPr>
        <w:spacing w:line="400" w:lineRule="exact"/>
        <w:jc w:val="left"/>
        <w:rPr>
          <w:rFonts w:hint="eastAsia" w:ascii="宋体" w:hAnsi="宋体" w:eastAsia="宋体" w:cs="宋体"/>
          <w:sz w:val="21"/>
          <w:szCs w:val="21"/>
        </w:rPr>
      </w:pPr>
      <w:r>
        <w:rPr>
          <w:rFonts w:hint="eastAsia" w:ascii="宋体" w:hAnsi="宋体" w:eastAsia="宋体" w:cs="宋体"/>
          <w:b/>
          <w:sz w:val="21"/>
          <w:szCs w:val="21"/>
        </w:rPr>
        <w:t>（十二）竞标文件份数和签署</w:t>
      </w:r>
    </w:p>
    <w:p>
      <w:pPr>
        <w:spacing w:line="40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rPr>
        <w:t>1、竞标人应严格按照投标人须知的要求准备竞标文件，每份竞标文件封面显著处必须清楚地标明“正本”或“副本”字样。一旦正本和副本不符，以正本为准，竞标文件包括：正本一份，副本一份。</w:t>
      </w:r>
    </w:p>
    <w:p>
      <w:pPr>
        <w:spacing w:line="40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rPr>
        <w:t>2、竞标文件的正本和副本均需打印，必须由竞标人法人代表或经授权并对竞标人有约束力的代表签字。授权代表须有法人代表以书面形式出具的“授权书”（见附件）附在竞标文件中。</w:t>
      </w:r>
    </w:p>
    <w:p>
      <w:pPr>
        <w:spacing w:line="40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rPr>
        <w:t>3、除竞标人对错处做必要修改外，竞标文件不得行间插字、涂改或增删，必要的修改处必须有竞标单位法人代表或其授权代表人签字并盖公章。</w:t>
      </w:r>
    </w:p>
    <w:p>
      <w:pPr>
        <w:pStyle w:val="4"/>
      </w:pPr>
      <w:bookmarkStart w:id="29" w:name="_Toc18696"/>
      <w:bookmarkStart w:id="30" w:name="_Toc10570"/>
      <w:bookmarkStart w:id="31" w:name="_Toc14427"/>
      <w:r>
        <w:rPr>
          <w:rFonts w:hint="eastAsia"/>
        </w:rPr>
        <w:t>三、竞标文件的递交</w:t>
      </w:r>
      <w:bookmarkEnd w:id="29"/>
      <w:bookmarkEnd w:id="30"/>
      <w:bookmarkEnd w:id="31"/>
    </w:p>
    <w:p>
      <w:pPr>
        <w:spacing w:line="400" w:lineRule="exact"/>
        <w:jc w:val="left"/>
        <w:rPr>
          <w:rFonts w:hint="eastAsia" w:asciiTheme="minorEastAsia" w:hAnsiTheme="minorEastAsia" w:cstheme="minorEastAsia"/>
          <w:sz w:val="21"/>
          <w:szCs w:val="21"/>
        </w:rPr>
      </w:pPr>
      <w:r>
        <w:rPr>
          <w:rFonts w:hint="eastAsia" w:asciiTheme="minorEastAsia" w:hAnsiTheme="minorEastAsia" w:cstheme="minorEastAsia"/>
          <w:b/>
          <w:sz w:val="21"/>
          <w:szCs w:val="21"/>
        </w:rPr>
        <w:t>（十三）竞标文件的密封和标记</w:t>
      </w:r>
    </w:p>
    <w:p>
      <w:pPr>
        <w:spacing w:line="300" w:lineRule="exact"/>
        <w:ind w:firstLine="420" w:firstLineChars="200"/>
        <w:rPr>
          <w:rFonts w:hint="eastAsia" w:asciiTheme="minorEastAsia" w:hAnsiTheme="minorEastAsia" w:cstheme="minorEastAsia"/>
          <w:color w:val="auto"/>
          <w:sz w:val="21"/>
          <w:szCs w:val="21"/>
        </w:rPr>
      </w:pPr>
      <w:r>
        <w:rPr>
          <w:rFonts w:hint="eastAsia" w:asciiTheme="minorEastAsia" w:hAnsiTheme="minorEastAsia" w:cstheme="minorEastAsia"/>
          <w:color w:val="auto"/>
          <w:sz w:val="21"/>
          <w:szCs w:val="21"/>
        </w:rPr>
        <w:t>1、竞标人应将竞标文件书面部分的正本、副本分别密封，并在每个密封袋上清楚地标明“正本”、“副本” ；</w:t>
      </w:r>
    </w:p>
    <w:p>
      <w:pPr>
        <w:spacing w:line="300" w:lineRule="exact"/>
        <w:ind w:firstLine="525" w:firstLineChars="250"/>
        <w:rPr>
          <w:rFonts w:hint="eastAsia" w:asciiTheme="minorEastAsia" w:hAnsiTheme="minorEastAsia" w:cstheme="minorEastAsia"/>
          <w:color w:val="auto"/>
          <w:sz w:val="21"/>
          <w:szCs w:val="21"/>
        </w:rPr>
      </w:pPr>
      <w:r>
        <w:rPr>
          <w:rFonts w:hint="eastAsia" w:asciiTheme="minorEastAsia" w:hAnsiTheme="minorEastAsia" w:cstheme="minorEastAsia"/>
          <w:color w:val="auto"/>
          <w:sz w:val="21"/>
          <w:szCs w:val="21"/>
        </w:rPr>
        <w:t>所有投标文件的密封袋的封口处均应加盖投标人印章或者由委托代理人签章；</w:t>
      </w:r>
    </w:p>
    <w:p>
      <w:pPr>
        <w:spacing w:line="400" w:lineRule="exact"/>
        <w:ind w:firstLine="420" w:firstLineChars="200"/>
        <w:jc w:val="left"/>
        <w:rPr>
          <w:rFonts w:hint="eastAsia" w:asciiTheme="minorEastAsia" w:hAnsiTheme="minorEastAsia" w:cstheme="minorEastAsia"/>
          <w:sz w:val="21"/>
          <w:szCs w:val="21"/>
        </w:rPr>
      </w:pPr>
      <w:r>
        <w:rPr>
          <w:rFonts w:hint="eastAsia" w:asciiTheme="minorEastAsia" w:hAnsiTheme="minorEastAsia" w:cstheme="minorEastAsia"/>
          <w:sz w:val="21"/>
          <w:szCs w:val="21"/>
        </w:rPr>
        <w:t>2、密封件格式</w:t>
      </w:r>
    </w:p>
    <w:p>
      <w:pPr>
        <w:spacing w:line="400" w:lineRule="exact"/>
        <w:ind w:firstLine="420" w:firstLineChars="200"/>
        <w:jc w:val="left"/>
        <w:rPr>
          <w:rFonts w:hint="eastAsia" w:asciiTheme="minorEastAsia" w:hAnsiTheme="minorEastAsia" w:cstheme="minorEastAsia"/>
          <w:sz w:val="21"/>
          <w:szCs w:val="21"/>
        </w:rPr>
      </w:pPr>
      <w:r>
        <w:rPr>
          <w:rFonts w:hint="eastAsia" w:asciiTheme="minorEastAsia" w:hAnsiTheme="minorEastAsia" w:cstheme="minorEastAsia"/>
          <w:sz w:val="21"/>
          <w:szCs w:val="21"/>
        </w:rPr>
        <w:t>(1)密封件外层正面应注明招标人名称、竞标人名称、竞标项目名称、项目编号等字样；并在骑缝处加盖公章。因标注不清而产生后果的由竞标人自负；</w:t>
      </w:r>
    </w:p>
    <w:p>
      <w:pPr>
        <w:spacing w:line="400" w:lineRule="exact"/>
        <w:ind w:firstLine="420" w:firstLineChars="200"/>
        <w:jc w:val="left"/>
        <w:rPr>
          <w:rFonts w:hint="eastAsia" w:asciiTheme="minorEastAsia" w:hAnsiTheme="minorEastAsia" w:cstheme="minorEastAsia"/>
          <w:sz w:val="21"/>
          <w:szCs w:val="21"/>
        </w:rPr>
      </w:pPr>
      <w:r>
        <w:rPr>
          <w:rFonts w:hint="eastAsia" w:asciiTheme="minorEastAsia" w:hAnsiTheme="minorEastAsia" w:cstheme="minorEastAsia"/>
          <w:sz w:val="21"/>
          <w:szCs w:val="21"/>
        </w:rPr>
        <w:t>(2)如果信封未按要求密封和加写标记,将作为无效竞标处理,同时对误投或过早启封概不负责。</w:t>
      </w:r>
    </w:p>
    <w:p>
      <w:pPr>
        <w:spacing w:line="400" w:lineRule="exact"/>
        <w:jc w:val="left"/>
        <w:rPr>
          <w:rFonts w:hint="eastAsia" w:asciiTheme="minorEastAsia" w:hAnsiTheme="minorEastAsia" w:cstheme="minorEastAsia"/>
          <w:b/>
          <w:sz w:val="21"/>
          <w:szCs w:val="21"/>
        </w:rPr>
      </w:pPr>
      <w:r>
        <w:rPr>
          <w:rFonts w:hint="eastAsia" w:asciiTheme="minorEastAsia" w:hAnsiTheme="minorEastAsia" w:cstheme="minorEastAsia"/>
          <w:b/>
          <w:sz w:val="21"/>
          <w:szCs w:val="21"/>
        </w:rPr>
        <w:t>（十四）竞标文件递交截止日期及方式</w:t>
      </w:r>
    </w:p>
    <w:p>
      <w:pPr>
        <w:spacing w:line="400" w:lineRule="exact"/>
        <w:ind w:firstLine="411" w:firstLineChars="196"/>
        <w:rPr>
          <w:rFonts w:hint="eastAsia" w:asciiTheme="minorEastAsia" w:hAnsiTheme="minorEastAsia" w:cstheme="minorEastAsia"/>
          <w:sz w:val="21"/>
          <w:szCs w:val="21"/>
        </w:rPr>
      </w:pPr>
      <w:r>
        <w:rPr>
          <w:rFonts w:hint="eastAsia" w:asciiTheme="minorEastAsia" w:hAnsiTheme="minorEastAsia" w:cstheme="minorEastAsia"/>
          <w:sz w:val="21"/>
          <w:szCs w:val="21"/>
        </w:rPr>
        <w:t>1、所有竞标文件都必须在谈判文件规定的递交截止时间前送达开标地点。</w:t>
      </w:r>
    </w:p>
    <w:p>
      <w:pPr>
        <w:spacing w:line="400" w:lineRule="exact"/>
        <w:ind w:firstLine="411" w:firstLineChars="196"/>
        <w:rPr>
          <w:rFonts w:hint="eastAsia" w:asciiTheme="minorEastAsia" w:hAnsiTheme="minorEastAsia" w:cstheme="minorEastAsia"/>
          <w:sz w:val="21"/>
          <w:szCs w:val="21"/>
        </w:rPr>
      </w:pPr>
      <w:r>
        <w:rPr>
          <w:rFonts w:hint="eastAsia" w:asciiTheme="minorEastAsia" w:hAnsiTheme="minorEastAsia" w:cstheme="minorEastAsia"/>
          <w:sz w:val="21"/>
          <w:szCs w:val="21"/>
        </w:rPr>
        <w:t>2、招标人将组织在谈判文件规定的时间和地点举行谈判会议，投标人必须派法定代表人或其授权的委托人出席会议。</w:t>
      </w:r>
    </w:p>
    <w:p>
      <w:pPr>
        <w:spacing w:line="400" w:lineRule="exact"/>
        <w:ind w:firstLine="420" w:firstLineChars="200"/>
        <w:jc w:val="left"/>
        <w:rPr>
          <w:rFonts w:hint="eastAsia" w:asciiTheme="minorEastAsia" w:hAnsiTheme="minorEastAsia" w:cstheme="minorEastAsia"/>
          <w:sz w:val="21"/>
          <w:szCs w:val="21"/>
        </w:rPr>
      </w:pPr>
      <w:r>
        <w:rPr>
          <w:rFonts w:hint="eastAsia" w:asciiTheme="minorEastAsia" w:hAnsiTheme="minorEastAsia" w:cstheme="minorEastAsia"/>
          <w:sz w:val="21"/>
          <w:szCs w:val="21"/>
        </w:rPr>
        <w:t>3、招标人可以通过修改谈判文件酌情延长竞标截止日期，在此情况下，竞标人的所有权利和义务以及竞标人受制约的截止日期均应以延长后新的截止日期为准。</w:t>
      </w:r>
    </w:p>
    <w:p>
      <w:pPr>
        <w:spacing w:line="400" w:lineRule="exact"/>
        <w:jc w:val="left"/>
        <w:rPr>
          <w:rFonts w:hint="eastAsia" w:asciiTheme="minorEastAsia" w:hAnsiTheme="minorEastAsia" w:cstheme="minorEastAsia"/>
          <w:sz w:val="21"/>
          <w:szCs w:val="21"/>
        </w:rPr>
      </w:pPr>
      <w:r>
        <w:rPr>
          <w:rFonts w:hint="eastAsia" w:asciiTheme="minorEastAsia" w:hAnsiTheme="minorEastAsia" w:cstheme="minorEastAsia"/>
          <w:b/>
          <w:sz w:val="21"/>
          <w:szCs w:val="21"/>
        </w:rPr>
        <w:t>（十五）迟交的竞标文件</w:t>
      </w:r>
    </w:p>
    <w:p>
      <w:pPr>
        <w:spacing w:line="400" w:lineRule="exact"/>
        <w:ind w:firstLine="420" w:firstLineChars="200"/>
        <w:jc w:val="left"/>
        <w:rPr>
          <w:rFonts w:hint="eastAsia" w:asciiTheme="minorEastAsia" w:hAnsiTheme="minorEastAsia" w:cstheme="minorEastAsia"/>
          <w:sz w:val="21"/>
          <w:szCs w:val="21"/>
        </w:rPr>
      </w:pPr>
      <w:r>
        <w:rPr>
          <w:rFonts w:hint="eastAsia" w:asciiTheme="minorEastAsia" w:hAnsiTheme="minorEastAsia" w:cstheme="minorEastAsia"/>
          <w:sz w:val="21"/>
          <w:szCs w:val="21"/>
        </w:rPr>
        <w:t>将拒绝并原封退回在其规定的截止日期后收到的任何竞标文件。</w:t>
      </w:r>
    </w:p>
    <w:p>
      <w:pPr>
        <w:spacing w:line="400" w:lineRule="exact"/>
        <w:jc w:val="left"/>
        <w:rPr>
          <w:rFonts w:hint="eastAsia" w:asciiTheme="minorEastAsia" w:hAnsiTheme="minorEastAsia" w:cstheme="minorEastAsia"/>
          <w:b/>
          <w:sz w:val="21"/>
          <w:szCs w:val="21"/>
        </w:rPr>
      </w:pPr>
      <w:bookmarkStart w:id="32" w:name="_Toc213839733"/>
      <w:r>
        <w:rPr>
          <w:rFonts w:hint="eastAsia" w:asciiTheme="minorEastAsia" w:hAnsiTheme="minorEastAsia" w:cstheme="minorEastAsia"/>
          <w:b/>
          <w:sz w:val="21"/>
          <w:szCs w:val="21"/>
        </w:rPr>
        <w:t>（十六）竞标文件的修改和撤回</w:t>
      </w:r>
      <w:bookmarkEnd w:id="32"/>
    </w:p>
    <w:p>
      <w:pPr>
        <w:spacing w:line="400" w:lineRule="exact"/>
        <w:ind w:firstLine="600"/>
        <w:jc w:val="left"/>
        <w:rPr>
          <w:rFonts w:hint="eastAsia" w:asciiTheme="minorEastAsia" w:hAnsiTheme="minorEastAsia" w:cstheme="minorEastAsia"/>
          <w:sz w:val="21"/>
          <w:szCs w:val="21"/>
        </w:rPr>
      </w:pPr>
      <w:r>
        <w:rPr>
          <w:rFonts w:hint="eastAsia" w:asciiTheme="minorEastAsia" w:hAnsiTheme="minorEastAsia" w:cstheme="minorEastAsia"/>
          <w:sz w:val="21"/>
          <w:szCs w:val="21"/>
        </w:rPr>
        <w:t>竞标投标人在递交竞标文件截止时间之前，对所递交的竞标文件可以补充、修改或者撤回，补充、修改的内容为竞标文件的组成部分，对竞标投标人具有约束力。</w:t>
      </w:r>
    </w:p>
    <w:p>
      <w:pPr>
        <w:pStyle w:val="4"/>
      </w:pPr>
      <w:bookmarkStart w:id="33" w:name="_Toc14535"/>
      <w:bookmarkStart w:id="34" w:name="_Toc30919"/>
      <w:bookmarkStart w:id="35" w:name="_Toc31048"/>
      <w:bookmarkStart w:id="36" w:name="_Toc213839734"/>
      <w:r>
        <w:rPr>
          <w:rFonts w:hint="eastAsia"/>
        </w:rPr>
        <w:t>四、无效标、废标条款</w:t>
      </w:r>
      <w:bookmarkEnd w:id="33"/>
      <w:bookmarkEnd w:id="34"/>
      <w:bookmarkEnd w:id="35"/>
    </w:p>
    <w:p>
      <w:pPr>
        <w:spacing w:line="400" w:lineRule="exact"/>
        <w:jc w:val="left"/>
        <w:rPr>
          <w:rFonts w:hint="eastAsia" w:ascii="宋体" w:hAnsi="宋体" w:eastAsia="宋体" w:cs="宋体"/>
          <w:b/>
          <w:sz w:val="21"/>
          <w:szCs w:val="21"/>
        </w:rPr>
      </w:pPr>
      <w:r>
        <w:rPr>
          <w:rFonts w:hint="eastAsia" w:ascii="宋体" w:hAnsi="宋体" w:eastAsia="宋体" w:cs="宋体"/>
          <w:b/>
          <w:sz w:val="21"/>
          <w:szCs w:val="21"/>
        </w:rPr>
        <w:t>（十七）无效竞标条款</w:t>
      </w:r>
    </w:p>
    <w:p>
      <w:pPr>
        <w:spacing w:line="400" w:lineRule="exact"/>
        <w:ind w:firstLine="600"/>
        <w:jc w:val="left"/>
        <w:rPr>
          <w:rFonts w:hint="eastAsia" w:ascii="宋体" w:hAnsi="宋体" w:eastAsia="宋体" w:cs="宋体"/>
          <w:sz w:val="21"/>
          <w:szCs w:val="21"/>
        </w:rPr>
      </w:pPr>
      <w:r>
        <w:rPr>
          <w:rFonts w:hint="eastAsia" w:ascii="宋体" w:hAnsi="宋体" w:eastAsia="宋体" w:cs="宋体"/>
          <w:sz w:val="21"/>
          <w:szCs w:val="21"/>
        </w:rPr>
        <w:t>1、竞标人资格不符合谈判文件规定或未按谈判文件规定提交资质证件原件的（缺项、漏项均做无效标处理）；</w:t>
      </w:r>
    </w:p>
    <w:p>
      <w:pPr>
        <w:spacing w:line="400" w:lineRule="exact"/>
        <w:ind w:firstLine="600"/>
        <w:jc w:val="left"/>
        <w:rPr>
          <w:rFonts w:hint="eastAsia" w:ascii="宋体" w:hAnsi="宋体" w:eastAsia="宋体" w:cs="宋体"/>
          <w:sz w:val="21"/>
          <w:szCs w:val="21"/>
        </w:rPr>
      </w:pPr>
      <w:r>
        <w:rPr>
          <w:rFonts w:hint="eastAsia" w:ascii="宋体" w:hAnsi="宋体" w:eastAsia="宋体" w:cs="宋体"/>
          <w:sz w:val="21"/>
          <w:szCs w:val="21"/>
        </w:rPr>
        <w:t>2、标书密封不符合谈判文件要求的；</w:t>
      </w:r>
    </w:p>
    <w:p>
      <w:pPr>
        <w:spacing w:line="400" w:lineRule="exact"/>
        <w:ind w:firstLine="600"/>
        <w:jc w:val="left"/>
        <w:rPr>
          <w:rFonts w:hint="eastAsia" w:ascii="宋体" w:hAnsi="宋体" w:eastAsia="宋体" w:cs="宋体"/>
          <w:sz w:val="21"/>
          <w:szCs w:val="21"/>
        </w:rPr>
      </w:pPr>
      <w:r>
        <w:rPr>
          <w:rFonts w:hint="eastAsia" w:ascii="宋体" w:hAnsi="宋体" w:eastAsia="宋体" w:cs="宋体"/>
          <w:sz w:val="21"/>
          <w:szCs w:val="21"/>
        </w:rPr>
        <w:t>3、标书出现重大偏差，未对谈判文件进行实质性响应；</w:t>
      </w:r>
    </w:p>
    <w:p>
      <w:pPr>
        <w:spacing w:line="400" w:lineRule="exact"/>
        <w:ind w:firstLine="600"/>
        <w:jc w:val="left"/>
        <w:rPr>
          <w:rFonts w:hint="eastAsia" w:ascii="宋体" w:hAnsi="宋体" w:eastAsia="宋体" w:cs="宋体"/>
          <w:sz w:val="21"/>
          <w:szCs w:val="21"/>
        </w:rPr>
      </w:pPr>
      <w:r>
        <w:rPr>
          <w:rFonts w:hint="eastAsia" w:ascii="宋体" w:hAnsi="宋体" w:eastAsia="宋体" w:cs="宋体"/>
          <w:sz w:val="21"/>
          <w:szCs w:val="21"/>
        </w:rPr>
        <w:t>4、其它谈判小组认为有必要取消的竞标；</w:t>
      </w:r>
    </w:p>
    <w:p>
      <w:pPr>
        <w:spacing w:line="400" w:lineRule="exact"/>
        <w:ind w:firstLine="600"/>
        <w:jc w:val="left"/>
        <w:rPr>
          <w:rFonts w:hint="eastAsia" w:ascii="宋体" w:hAnsi="宋体" w:eastAsia="宋体" w:cs="宋体"/>
          <w:sz w:val="21"/>
          <w:szCs w:val="21"/>
        </w:rPr>
      </w:pPr>
      <w:r>
        <w:rPr>
          <w:rFonts w:hint="eastAsia" w:ascii="宋体" w:hAnsi="宋体" w:eastAsia="宋体" w:cs="宋体"/>
          <w:sz w:val="21"/>
          <w:szCs w:val="21"/>
        </w:rPr>
        <w:t>5、竞标人不参加谈判仪式及质询事宜的；</w:t>
      </w:r>
    </w:p>
    <w:p>
      <w:pPr>
        <w:spacing w:line="400" w:lineRule="exact"/>
        <w:ind w:firstLine="600"/>
        <w:jc w:val="left"/>
        <w:rPr>
          <w:rFonts w:hint="eastAsia" w:ascii="宋体" w:hAnsi="宋体" w:eastAsia="宋体" w:cs="宋体"/>
          <w:sz w:val="21"/>
          <w:szCs w:val="21"/>
        </w:rPr>
      </w:pPr>
      <w:r>
        <w:rPr>
          <w:rFonts w:hint="eastAsia" w:ascii="宋体" w:hAnsi="宋体" w:eastAsia="宋体" w:cs="宋体"/>
          <w:sz w:val="21"/>
          <w:szCs w:val="21"/>
        </w:rPr>
        <w:t>6、法律、法规规定的其他情况；</w:t>
      </w:r>
    </w:p>
    <w:p>
      <w:pPr>
        <w:spacing w:line="400" w:lineRule="exact"/>
        <w:ind w:firstLine="600"/>
        <w:jc w:val="left"/>
        <w:rPr>
          <w:rFonts w:hint="eastAsia" w:ascii="宋体" w:hAnsi="宋体" w:eastAsia="宋体" w:cs="宋体"/>
          <w:sz w:val="21"/>
          <w:szCs w:val="21"/>
        </w:rPr>
      </w:pPr>
      <w:r>
        <w:rPr>
          <w:rFonts w:hint="eastAsia" w:ascii="宋体" w:hAnsi="宋体" w:eastAsia="宋体" w:cs="宋体"/>
          <w:sz w:val="21"/>
          <w:szCs w:val="21"/>
        </w:rPr>
        <w:t>7、参与竞标的项目经理未按时到达开标会议现场的。</w:t>
      </w:r>
    </w:p>
    <w:p>
      <w:pPr>
        <w:spacing w:line="440" w:lineRule="exact"/>
        <w:ind w:firstLine="600"/>
        <w:jc w:val="left"/>
        <w:rPr>
          <w:rFonts w:hint="eastAsia" w:ascii="宋体" w:hAnsi="宋体" w:eastAsia="宋体" w:cs="宋体"/>
          <w:b/>
          <w:sz w:val="21"/>
          <w:szCs w:val="21"/>
        </w:rPr>
      </w:pPr>
      <w:r>
        <w:rPr>
          <w:rFonts w:hint="eastAsia" w:ascii="宋体" w:hAnsi="宋体" w:eastAsia="宋体" w:cs="宋体"/>
          <w:b/>
          <w:sz w:val="21"/>
          <w:szCs w:val="21"/>
        </w:rPr>
        <w:t>★竞标人未及时参与谈判或多次报价的，视为自动放弃竞标资格。</w:t>
      </w:r>
    </w:p>
    <w:p>
      <w:pPr>
        <w:snapToGrid w:val="0"/>
        <w:spacing w:line="400" w:lineRule="exact"/>
        <w:rPr>
          <w:rFonts w:hint="eastAsia" w:ascii="宋体" w:hAnsi="宋体" w:eastAsia="宋体" w:cs="宋体"/>
          <w:b/>
          <w:sz w:val="21"/>
          <w:szCs w:val="21"/>
        </w:rPr>
      </w:pPr>
      <w:r>
        <w:rPr>
          <w:rFonts w:hint="eastAsia" w:ascii="宋体" w:hAnsi="宋体" w:eastAsia="宋体" w:cs="宋体"/>
          <w:b/>
          <w:sz w:val="21"/>
          <w:szCs w:val="21"/>
        </w:rPr>
        <w:t>（十八）废标条款</w:t>
      </w:r>
    </w:p>
    <w:p>
      <w:pPr>
        <w:snapToGrid w:val="0"/>
        <w:spacing w:line="40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1、出现影响招标公正的违法、违规行为的；</w:t>
      </w:r>
    </w:p>
    <w:p>
      <w:pPr>
        <w:snapToGrid w:val="0"/>
        <w:spacing w:line="40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2、竞标人的报价均超过了投标报价上限，招标人不能支付的；</w:t>
      </w:r>
    </w:p>
    <w:p>
      <w:pPr>
        <w:snapToGrid w:val="0"/>
        <w:spacing w:line="40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3、因重大变故，招标任务取消的；</w:t>
      </w:r>
    </w:p>
    <w:p>
      <w:pPr>
        <w:snapToGrid w:val="0"/>
        <w:spacing w:line="400" w:lineRule="exact"/>
        <w:ind w:firstLine="420" w:firstLineChars="200"/>
        <w:rPr>
          <w:rFonts w:hint="eastAsia" w:ascii="宋体" w:hAnsi="宋体" w:eastAsia="宋体" w:cs="宋体"/>
          <w:b/>
          <w:sz w:val="21"/>
          <w:szCs w:val="21"/>
        </w:rPr>
      </w:pPr>
      <w:r>
        <w:rPr>
          <w:rFonts w:hint="eastAsia" w:ascii="宋体" w:hAnsi="宋体" w:eastAsia="宋体" w:cs="宋体"/>
          <w:sz w:val="21"/>
          <w:szCs w:val="21"/>
        </w:rPr>
        <w:t>4、如出现投标截止时间结束后参加投标的投标人不足三家的，按照以下原则处理：</w:t>
      </w:r>
      <w:r>
        <w:rPr>
          <w:rFonts w:hint="eastAsia" w:ascii="宋体" w:hAnsi="宋体" w:eastAsia="宋体" w:cs="宋体"/>
          <w:b/>
          <w:sz w:val="21"/>
          <w:szCs w:val="21"/>
        </w:rPr>
        <w:t>重新招标</w:t>
      </w:r>
    </w:p>
    <w:p>
      <w:pPr>
        <w:snapToGrid w:val="0"/>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在评标期间，出现符合专业条件的投标人或者对招标文件做出实质响应的投标人不足三家情形的，参照执行。</w:t>
      </w:r>
    </w:p>
    <w:p>
      <w:pPr>
        <w:spacing w:line="400" w:lineRule="exact"/>
        <w:jc w:val="left"/>
        <w:rPr>
          <w:rFonts w:hint="eastAsia" w:ascii="宋体" w:hAnsi="宋体" w:eastAsia="宋体" w:cs="宋体"/>
          <w:b/>
          <w:sz w:val="21"/>
          <w:szCs w:val="21"/>
        </w:rPr>
      </w:pPr>
      <w:r>
        <w:rPr>
          <w:rFonts w:hint="eastAsia" w:ascii="宋体" w:hAnsi="宋体" w:eastAsia="宋体" w:cs="宋体"/>
          <w:b/>
          <w:sz w:val="21"/>
          <w:szCs w:val="21"/>
        </w:rPr>
        <w:t>（十九）取消成交候选人资格条款</w:t>
      </w:r>
    </w:p>
    <w:p>
      <w:pPr>
        <w:snapToGrid w:val="0"/>
        <w:spacing w:line="40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1、提供虚假材料谋取成交的；</w:t>
      </w:r>
    </w:p>
    <w:p>
      <w:pPr>
        <w:snapToGrid w:val="0"/>
        <w:spacing w:line="40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2、采取不正当手段诋毁、排挤其他投标人的；</w:t>
      </w:r>
    </w:p>
    <w:p>
      <w:pPr>
        <w:snapToGrid w:val="0"/>
        <w:spacing w:line="40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3、与招标人、其他投标人或者招标代理机构恶意串通的；</w:t>
      </w:r>
    </w:p>
    <w:p>
      <w:pPr>
        <w:snapToGrid w:val="0"/>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4、向招标人、招标代理机构行贿或者提供其他不正当利益的；</w:t>
      </w:r>
    </w:p>
    <w:p>
      <w:pPr>
        <w:snapToGrid w:val="0"/>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5、法律、法规规定的其他情况。</w:t>
      </w:r>
    </w:p>
    <w:p>
      <w:pPr>
        <w:pStyle w:val="4"/>
      </w:pPr>
      <w:bookmarkStart w:id="37" w:name="_Toc3406"/>
      <w:bookmarkStart w:id="38" w:name="_Toc9319"/>
      <w:bookmarkStart w:id="39" w:name="_Toc20502"/>
      <w:r>
        <w:rPr>
          <w:rFonts w:hint="eastAsia"/>
        </w:rPr>
        <w:t>五、谈判程序及最终报价</w:t>
      </w:r>
      <w:bookmarkEnd w:id="36"/>
      <w:bookmarkEnd w:id="37"/>
      <w:bookmarkEnd w:id="38"/>
      <w:bookmarkEnd w:id="39"/>
    </w:p>
    <w:p>
      <w:pPr>
        <w:spacing w:line="400" w:lineRule="exact"/>
        <w:rPr>
          <w:rFonts w:hint="eastAsia" w:ascii="宋体" w:hAnsi="宋体" w:eastAsia="宋体" w:cs="宋体"/>
          <w:b/>
          <w:sz w:val="21"/>
          <w:szCs w:val="21"/>
        </w:rPr>
      </w:pPr>
      <w:r>
        <w:rPr>
          <w:rFonts w:hint="eastAsia" w:ascii="宋体" w:hAnsi="宋体" w:eastAsia="宋体" w:cs="宋体"/>
          <w:b/>
          <w:sz w:val="21"/>
          <w:szCs w:val="21"/>
        </w:rPr>
        <w:t>（二十）谈判仪式</w:t>
      </w:r>
    </w:p>
    <w:p>
      <w:pPr>
        <w:widowControl/>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1、招标人按谈判文件规定的时间、地点组织竞标。招标人代表及有关工作人员参加。</w:t>
      </w:r>
    </w:p>
    <w:p>
      <w:pPr>
        <w:widowControl/>
        <w:spacing w:line="40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rPr>
        <w:t>2、竞标人应委派授权代表参加谈判活动，</w:t>
      </w:r>
      <w:r>
        <w:rPr>
          <w:rFonts w:hint="eastAsia" w:ascii="宋体" w:hAnsi="宋体" w:eastAsia="宋体" w:cs="宋体"/>
          <w:b/>
          <w:sz w:val="21"/>
          <w:szCs w:val="21"/>
          <w:u w:val="single"/>
        </w:rPr>
        <w:t>参加谈判的代表须持本人身份证件签名报到以证明其出席</w:t>
      </w:r>
      <w:r>
        <w:rPr>
          <w:rFonts w:hint="eastAsia" w:ascii="宋体" w:hAnsi="宋体" w:eastAsia="宋体" w:cs="宋体"/>
          <w:sz w:val="21"/>
          <w:szCs w:val="21"/>
          <w:u w:val="single"/>
        </w:rPr>
        <w:t>。</w:t>
      </w:r>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3、谈判由</w:t>
      </w:r>
      <w:r>
        <w:rPr>
          <w:rFonts w:hint="eastAsia" w:ascii="宋体" w:hAnsi="宋体" w:eastAsia="宋体" w:cs="宋体"/>
          <w:sz w:val="21"/>
          <w:szCs w:val="21"/>
          <w:u w:val="single"/>
        </w:rPr>
        <w:t xml:space="preserve">  </w:t>
      </w:r>
      <w:r>
        <w:rPr>
          <w:rFonts w:hint="eastAsia" w:ascii="宋体" w:hAnsi="宋体" w:eastAsia="宋体" w:cs="宋体"/>
          <w:b/>
          <w:sz w:val="21"/>
          <w:szCs w:val="21"/>
          <w:u w:val="single"/>
        </w:rPr>
        <w:t xml:space="preserve"> 招标人 </w:t>
      </w:r>
      <w:r>
        <w:rPr>
          <w:rFonts w:hint="eastAsia" w:ascii="宋体" w:hAnsi="宋体" w:eastAsia="宋体" w:cs="宋体"/>
          <w:sz w:val="21"/>
          <w:szCs w:val="21"/>
        </w:rPr>
        <w:t>主持。</w:t>
      </w:r>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4、谈判时，由招标人代表检查投标文件的密封情况、参与竞标的项目经理是否按时到达开标会议现场、准入证件等。</w:t>
      </w:r>
    </w:p>
    <w:p>
      <w:pPr>
        <w:spacing w:line="400" w:lineRule="exact"/>
        <w:rPr>
          <w:rFonts w:hint="eastAsia" w:ascii="宋体" w:hAnsi="宋体" w:eastAsia="宋体" w:cs="宋体"/>
          <w:b/>
          <w:sz w:val="21"/>
          <w:szCs w:val="21"/>
        </w:rPr>
      </w:pPr>
      <w:r>
        <w:rPr>
          <w:rFonts w:hint="eastAsia" w:ascii="宋体" w:hAnsi="宋体" w:eastAsia="宋体" w:cs="宋体"/>
          <w:b/>
          <w:sz w:val="21"/>
          <w:szCs w:val="21"/>
        </w:rPr>
        <w:t>（二十一）谈判小组</w:t>
      </w:r>
    </w:p>
    <w:p>
      <w:pPr>
        <w:spacing w:line="400" w:lineRule="exact"/>
        <w:ind w:firstLine="525" w:firstLineChars="2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招标人将根据本项目的特点，于开标前半天内组建谈判小组，谈判小组由五人以上单数组成。谈判小组负责对竞标文件进行审查、质疑、评审、推选成交候选人。</w:t>
      </w:r>
    </w:p>
    <w:p>
      <w:pPr>
        <w:spacing w:line="400" w:lineRule="exact"/>
        <w:rPr>
          <w:rFonts w:hint="eastAsia" w:ascii="宋体" w:hAnsi="宋体" w:eastAsia="宋体" w:cs="宋体"/>
          <w:b/>
          <w:sz w:val="21"/>
          <w:szCs w:val="21"/>
        </w:rPr>
      </w:pPr>
      <w:r>
        <w:rPr>
          <w:rFonts w:hint="eastAsia" w:ascii="宋体" w:hAnsi="宋体" w:eastAsia="宋体" w:cs="宋体"/>
          <w:b/>
          <w:sz w:val="21"/>
          <w:szCs w:val="21"/>
        </w:rPr>
        <w:t>（二十二）谈判原则</w:t>
      </w:r>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 xml:space="preserve"> “公开、公平、公正、择优、效益”为本次评标的基本原则，谈判小组将按照这一原则的要求，公正、平等地对待各竞标人。</w:t>
      </w:r>
    </w:p>
    <w:p>
      <w:pPr>
        <w:spacing w:line="400" w:lineRule="exact"/>
        <w:rPr>
          <w:rFonts w:hint="eastAsia" w:ascii="宋体" w:hAnsi="宋体" w:eastAsia="宋体" w:cs="宋体"/>
          <w:b/>
          <w:sz w:val="21"/>
          <w:szCs w:val="21"/>
        </w:rPr>
      </w:pPr>
      <w:r>
        <w:rPr>
          <w:rFonts w:hint="eastAsia" w:ascii="宋体" w:hAnsi="宋体" w:eastAsia="宋体" w:cs="宋体"/>
          <w:b/>
          <w:sz w:val="21"/>
          <w:szCs w:val="21"/>
        </w:rPr>
        <w:t>（二十三）谈判程序</w:t>
      </w:r>
    </w:p>
    <w:p>
      <w:pPr>
        <w:spacing w:line="400" w:lineRule="exact"/>
        <w:ind w:firstLine="420" w:firstLineChars="200"/>
        <w:rPr>
          <w:rFonts w:hint="eastAsia" w:ascii="宋体" w:hAnsi="宋体" w:eastAsia="宋体" w:cs="宋体"/>
          <w:b/>
          <w:sz w:val="21"/>
          <w:szCs w:val="21"/>
        </w:rPr>
      </w:pPr>
      <w:r>
        <w:rPr>
          <w:rFonts w:hint="eastAsia" w:ascii="宋体" w:hAnsi="宋体" w:eastAsia="宋体" w:cs="宋体"/>
          <w:sz w:val="21"/>
          <w:szCs w:val="21"/>
        </w:rPr>
        <w:t>1、谈判小组首先对各竞标文件进行资格性审查和符合性审查，未通过审查的为无效标。</w:t>
      </w:r>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⑴资格性检查：谈判小组将根据法律法规和谈判文件的规定，对竞标文件的资格证明文件等进行审查，以确定投标人是否具备竞争性谈判资格。</w:t>
      </w:r>
    </w:p>
    <w:p>
      <w:pPr>
        <w:widowControl/>
        <w:tabs>
          <w:tab w:val="left" w:pos="540"/>
        </w:tabs>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⑵符合性检查：依据谈判文件的规定，从竞标文件的有效性、完整性和对谈判文件的响应程度进行审查，以确定是否对谈判文件的要求作出了实质性的响应，对存在重大</w:t>
      </w:r>
      <w:r>
        <w:rPr>
          <w:rFonts w:hint="eastAsia" w:ascii="宋体" w:hAnsi="宋体" w:eastAsia="宋体" w:cs="宋体"/>
          <w:b/>
          <w:sz w:val="21"/>
          <w:szCs w:val="21"/>
        </w:rPr>
        <w:t>偏离</w:t>
      </w:r>
      <w:r>
        <w:rPr>
          <w:rFonts w:hint="eastAsia" w:ascii="宋体" w:hAnsi="宋体" w:eastAsia="宋体" w:cs="宋体"/>
          <w:sz w:val="21"/>
          <w:szCs w:val="21"/>
        </w:rPr>
        <w:t>的竞标文件将被拒绝。所谓重大偏离是指竞标人竞标文件中所述质量、规格、数量、交货期等明显不能满足谈判文件要求。重大偏离的认定须经竞争性谈判小组三分之二以上同意。</w:t>
      </w:r>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2、谈判小组判断“竞标文件”的响应性，仅基于“竞标文件”本身而不靠外部证据。谈判小组将拒绝被确定为非实质性响应的投标人。投标人不能通过修正或撤销不符之处，而使其成为实质性响应。</w:t>
      </w:r>
    </w:p>
    <w:p>
      <w:pPr>
        <w:pStyle w:val="7"/>
        <w:tabs>
          <w:tab w:val="left" w:pos="1260"/>
        </w:tabs>
        <w:spacing w:line="400" w:lineRule="exact"/>
        <w:ind w:firstLine="420" w:firstLineChars="200"/>
        <w:rPr>
          <w:rFonts w:hint="eastAsia" w:hAnsi="宋体" w:eastAsia="宋体" w:cs="宋体"/>
          <w:color w:val="000000"/>
          <w:sz w:val="21"/>
          <w:szCs w:val="21"/>
        </w:rPr>
      </w:pPr>
      <w:r>
        <w:rPr>
          <w:rFonts w:hint="eastAsia" w:hAnsi="宋体" w:eastAsia="宋体" w:cs="宋体"/>
          <w:color w:val="000000"/>
          <w:sz w:val="21"/>
          <w:szCs w:val="21"/>
        </w:rPr>
        <w:t>3、谈判小组根据谈判文件要求，讨论、通过谈判工作流程和谈判要点。</w:t>
      </w:r>
    </w:p>
    <w:p>
      <w:pPr>
        <w:pStyle w:val="7"/>
        <w:spacing w:line="400" w:lineRule="exact"/>
        <w:ind w:firstLine="420" w:firstLineChars="200"/>
        <w:rPr>
          <w:rFonts w:hint="eastAsia" w:hAnsi="宋体" w:eastAsia="宋体" w:cs="宋体"/>
          <w:color w:val="000000"/>
          <w:sz w:val="21"/>
          <w:szCs w:val="21"/>
        </w:rPr>
      </w:pPr>
      <w:r>
        <w:rPr>
          <w:rFonts w:hint="eastAsia" w:hAnsi="宋体" w:eastAsia="宋体" w:cs="宋体"/>
          <w:sz w:val="21"/>
          <w:szCs w:val="21"/>
        </w:rPr>
        <w:t>4、</w:t>
      </w:r>
      <w:r>
        <w:rPr>
          <w:rFonts w:hint="eastAsia" w:hAnsi="宋体" w:eastAsia="宋体" w:cs="宋体"/>
          <w:color w:val="000000"/>
          <w:sz w:val="21"/>
          <w:szCs w:val="21"/>
        </w:rPr>
        <w:t>谈判小组</w:t>
      </w:r>
      <w:r>
        <w:rPr>
          <w:rFonts w:hint="eastAsia" w:hAnsi="宋体" w:eastAsia="宋体" w:cs="宋体"/>
          <w:sz w:val="21"/>
          <w:szCs w:val="21"/>
        </w:rPr>
        <w:t>按照签到顺序通知有效竞标人谈判</w:t>
      </w:r>
      <w:r>
        <w:rPr>
          <w:rFonts w:hint="eastAsia" w:hAnsi="宋体" w:eastAsia="宋体" w:cs="宋体"/>
          <w:color w:val="000000"/>
          <w:sz w:val="21"/>
          <w:szCs w:val="21"/>
        </w:rPr>
        <w:t>。</w:t>
      </w:r>
    </w:p>
    <w:p>
      <w:pPr>
        <w:pStyle w:val="7"/>
        <w:spacing w:line="400" w:lineRule="exact"/>
        <w:ind w:firstLine="420" w:firstLineChars="200"/>
        <w:rPr>
          <w:rFonts w:hint="eastAsia" w:hAnsi="宋体" w:eastAsia="宋体" w:cs="宋体"/>
          <w:color w:val="000000"/>
          <w:sz w:val="21"/>
          <w:szCs w:val="21"/>
        </w:rPr>
      </w:pPr>
      <w:r>
        <w:rPr>
          <w:rFonts w:hint="eastAsia" w:hAnsi="宋体" w:eastAsia="宋体" w:cs="宋体"/>
          <w:color w:val="000000"/>
          <w:sz w:val="21"/>
          <w:szCs w:val="21"/>
        </w:rPr>
        <w:t>5、围绕谈判要点，谈判评标小组全体成员集中与各个有效竞标人分别进行谈判。逐家谈判一次为一个轮次，谈判轮次原则上为一轮，具体由谈判小组视情况决定。</w:t>
      </w:r>
    </w:p>
    <w:p>
      <w:pPr>
        <w:pStyle w:val="7"/>
        <w:spacing w:line="400" w:lineRule="exact"/>
        <w:ind w:firstLine="420" w:firstLineChars="200"/>
        <w:rPr>
          <w:rFonts w:hint="eastAsia" w:hAnsi="宋体" w:eastAsia="宋体" w:cs="宋体"/>
          <w:color w:val="000000"/>
          <w:sz w:val="21"/>
          <w:szCs w:val="21"/>
        </w:rPr>
      </w:pPr>
      <w:r>
        <w:rPr>
          <w:rFonts w:hint="eastAsia" w:hAnsi="宋体" w:eastAsia="宋体" w:cs="宋体"/>
          <w:color w:val="000000"/>
          <w:sz w:val="21"/>
          <w:szCs w:val="21"/>
        </w:rPr>
        <w:t>6、谈判文件有较大变动的，谈判小组将以书面形式通知所有参加谈判的竞标人。</w:t>
      </w:r>
    </w:p>
    <w:p>
      <w:pPr>
        <w:pStyle w:val="7"/>
        <w:spacing w:line="400" w:lineRule="exact"/>
        <w:rPr>
          <w:rFonts w:hint="eastAsia" w:hAnsi="宋体" w:eastAsia="宋体" w:cs="宋体"/>
          <w:b/>
          <w:sz w:val="21"/>
          <w:szCs w:val="21"/>
        </w:rPr>
      </w:pPr>
      <w:r>
        <w:rPr>
          <w:rFonts w:hint="eastAsia" w:hAnsi="宋体" w:eastAsia="宋体" w:cs="宋体"/>
          <w:b/>
          <w:sz w:val="21"/>
          <w:szCs w:val="21"/>
        </w:rPr>
        <w:t>（二十四）最终报价</w:t>
      </w:r>
    </w:p>
    <w:p>
      <w:pPr>
        <w:pStyle w:val="7"/>
        <w:spacing w:line="400" w:lineRule="exact"/>
        <w:ind w:firstLine="525" w:firstLineChars="250"/>
        <w:rPr>
          <w:rFonts w:hint="eastAsia" w:hAnsi="宋体" w:eastAsia="宋体" w:cs="宋体"/>
          <w:sz w:val="21"/>
          <w:szCs w:val="21"/>
        </w:rPr>
      </w:pPr>
      <w:r>
        <w:rPr>
          <w:rFonts w:hint="eastAsia" w:hAnsi="宋体" w:eastAsia="宋体" w:cs="宋体"/>
          <w:sz w:val="21"/>
          <w:szCs w:val="21"/>
        </w:rPr>
        <w:t>谈判结束后，谈判小组将要求所有有效标竞标人在规定时间内确定最终报价及服务承诺</w:t>
      </w:r>
      <w:r>
        <w:rPr>
          <w:rFonts w:hint="eastAsia" w:hAnsi="宋体" w:eastAsia="宋体" w:cs="宋体"/>
          <w:b/>
          <w:bCs/>
          <w:sz w:val="21"/>
          <w:szCs w:val="21"/>
        </w:rPr>
        <w:t>。</w:t>
      </w:r>
    </w:p>
    <w:p>
      <w:pPr>
        <w:spacing w:line="400" w:lineRule="exact"/>
        <w:rPr>
          <w:rFonts w:hint="eastAsia" w:ascii="宋体" w:hAnsi="宋体" w:eastAsia="宋体" w:cs="宋体"/>
          <w:b/>
          <w:sz w:val="21"/>
          <w:szCs w:val="21"/>
        </w:rPr>
      </w:pPr>
      <w:r>
        <w:rPr>
          <w:rFonts w:hint="eastAsia" w:ascii="宋体" w:hAnsi="宋体" w:eastAsia="宋体" w:cs="宋体"/>
          <w:b/>
          <w:sz w:val="21"/>
          <w:szCs w:val="21"/>
        </w:rPr>
        <w:t>（二十五）比较与评价</w:t>
      </w:r>
    </w:p>
    <w:p>
      <w:pPr>
        <w:spacing w:line="400" w:lineRule="exact"/>
        <w:ind w:firstLine="500"/>
        <w:rPr>
          <w:rFonts w:hint="eastAsia" w:ascii="宋体" w:hAnsi="宋体" w:eastAsia="宋体" w:cs="宋体"/>
          <w:color w:val="000000"/>
          <w:sz w:val="21"/>
          <w:szCs w:val="21"/>
        </w:rPr>
      </w:pPr>
      <w:r>
        <w:rPr>
          <w:rFonts w:hint="eastAsia" w:ascii="宋体" w:hAnsi="宋体" w:eastAsia="宋体" w:cs="宋体"/>
          <w:sz w:val="21"/>
          <w:szCs w:val="21"/>
        </w:rPr>
        <w:t>1、谈判小组将按谈判文件中规定的评标方法和标准，</w:t>
      </w:r>
      <w:r>
        <w:rPr>
          <w:rFonts w:hint="eastAsia" w:ascii="宋体" w:hAnsi="宋体" w:eastAsia="宋体" w:cs="宋体"/>
          <w:color w:val="000000"/>
          <w:sz w:val="21"/>
          <w:szCs w:val="21"/>
        </w:rPr>
        <w:t>仅对在实质上响应谈判文件要求的竞标文件进行评估和比较。</w:t>
      </w:r>
    </w:p>
    <w:p>
      <w:pPr>
        <w:spacing w:line="400" w:lineRule="exact"/>
        <w:ind w:firstLine="500"/>
        <w:rPr>
          <w:rFonts w:hint="eastAsia" w:ascii="宋体" w:hAnsi="宋体" w:eastAsia="宋体" w:cs="宋体"/>
          <w:color w:val="000000"/>
          <w:sz w:val="21"/>
          <w:szCs w:val="21"/>
          <w:lang w:val="zh-CN"/>
        </w:rPr>
      </w:pPr>
      <w:bookmarkStart w:id="40" w:name="_Toc213839741"/>
      <w:r>
        <w:rPr>
          <w:rFonts w:hint="eastAsia" w:ascii="宋体" w:hAnsi="宋体" w:eastAsia="宋体" w:cs="宋体"/>
          <w:sz w:val="21"/>
          <w:szCs w:val="21"/>
        </w:rPr>
        <w:t>2、推荐成交候选人名单。</w:t>
      </w:r>
      <w:r>
        <w:rPr>
          <w:rFonts w:hint="eastAsia" w:ascii="宋体" w:hAnsi="宋体" w:eastAsia="宋体" w:cs="宋体"/>
          <w:color w:val="000000"/>
          <w:sz w:val="21"/>
          <w:szCs w:val="21"/>
          <w:lang w:val="zh-CN"/>
        </w:rPr>
        <w:t>选择经评审的</w:t>
      </w:r>
      <w:r>
        <w:rPr>
          <w:rFonts w:hint="eastAsia" w:ascii="宋体" w:hAnsi="宋体" w:eastAsia="宋体" w:cs="宋体"/>
          <w:color w:val="000000"/>
          <w:sz w:val="21"/>
          <w:szCs w:val="21"/>
          <w:lang w:val="en-US" w:eastAsia="zh-CN"/>
        </w:rPr>
        <w:t>报价最高充电服务费分成比例（</w:t>
      </w:r>
      <w:r>
        <w:rPr>
          <w:rFonts w:hint="eastAsia" w:asciiTheme="minorEastAsia" w:hAnsiTheme="minorEastAsia" w:cstheme="minorEastAsia"/>
          <w:color w:val="auto"/>
          <w:sz w:val="21"/>
          <w:szCs w:val="21"/>
          <w:lang w:val="en-US" w:eastAsia="zh-CN"/>
        </w:rPr>
        <w:t>当竞标人给出的招标人最高分成比例相同时，工期短的为中选人；当竞标人给出的招标人最高分成比例和工期均相同时，由招标人根据竞标人的资质情况和实施方案综合评判</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lang w:val="zh-CN"/>
        </w:rPr>
        <w:t>的竞标人</w:t>
      </w:r>
      <w:r>
        <w:rPr>
          <w:rFonts w:hint="eastAsia" w:ascii="宋体" w:hAnsi="宋体" w:eastAsia="宋体" w:cs="宋体"/>
          <w:sz w:val="21"/>
          <w:szCs w:val="21"/>
        </w:rPr>
        <w:t>推荐为成交候选投标人</w:t>
      </w:r>
      <w:r>
        <w:rPr>
          <w:rFonts w:hint="eastAsia" w:ascii="宋体" w:hAnsi="宋体" w:eastAsia="宋体" w:cs="宋体"/>
          <w:color w:val="000000"/>
          <w:sz w:val="21"/>
          <w:szCs w:val="21"/>
          <w:lang w:val="zh-CN"/>
        </w:rPr>
        <w:t>。</w:t>
      </w:r>
    </w:p>
    <w:p>
      <w:pPr>
        <w:spacing w:line="400" w:lineRule="exact"/>
        <w:rPr>
          <w:rFonts w:hint="eastAsia" w:ascii="宋体" w:hAnsi="宋体" w:eastAsia="宋体" w:cs="宋体"/>
          <w:b/>
          <w:sz w:val="21"/>
          <w:szCs w:val="21"/>
        </w:rPr>
      </w:pPr>
      <w:r>
        <w:rPr>
          <w:rFonts w:hint="eastAsia" w:ascii="宋体" w:hAnsi="宋体" w:eastAsia="宋体" w:cs="宋体"/>
          <w:b/>
          <w:sz w:val="21"/>
          <w:szCs w:val="21"/>
        </w:rPr>
        <w:t>（二十六）谈判过程</w:t>
      </w:r>
      <w:bookmarkEnd w:id="40"/>
      <w:r>
        <w:rPr>
          <w:rFonts w:hint="eastAsia" w:ascii="宋体" w:hAnsi="宋体" w:eastAsia="宋体" w:cs="宋体"/>
          <w:b/>
          <w:sz w:val="21"/>
          <w:szCs w:val="21"/>
        </w:rPr>
        <w:t>保密</w:t>
      </w:r>
    </w:p>
    <w:p>
      <w:pPr>
        <w:spacing w:line="400" w:lineRule="exact"/>
        <w:ind w:firstLine="420" w:firstLineChars="200"/>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1、 在宣布成交结果之前，凡属于审查、澄清、评价、比较谈判文件等有关信息，相关当事人均不得泄露给任何谈判投标人或与谈判工作无关的人员。</w:t>
      </w:r>
    </w:p>
    <w:p>
      <w:pPr>
        <w:spacing w:line="400" w:lineRule="exact"/>
        <w:ind w:firstLine="420" w:firstLineChars="200"/>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 xml:space="preserve">2、 </w:t>
      </w:r>
      <w:r>
        <w:rPr>
          <w:rFonts w:hint="eastAsia" w:ascii="宋体" w:hAnsi="宋体" w:eastAsia="宋体" w:cs="宋体"/>
          <w:sz w:val="21"/>
          <w:szCs w:val="21"/>
          <w:lang w:val="zh-CN"/>
        </w:rPr>
        <w:t>竞标投标人不得探听上述信息，不得以任何行为影响谈</w:t>
      </w:r>
      <w:r>
        <w:rPr>
          <w:rFonts w:hint="eastAsia" w:ascii="宋体" w:hAnsi="宋体" w:eastAsia="宋体" w:cs="宋体"/>
          <w:color w:val="000000"/>
          <w:sz w:val="21"/>
          <w:szCs w:val="21"/>
          <w:lang w:val="zh-CN"/>
        </w:rPr>
        <w:t>判过程，否则其竞标文件将被作为无效竞标文件。</w:t>
      </w:r>
    </w:p>
    <w:p>
      <w:pPr>
        <w:spacing w:line="400" w:lineRule="exact"/>
        <w:ind w:firstLine="420" w:firstLineChars="200"/>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3、 在谈判期间，招标人将有专门工作人员与竞标投标人进行联络。</w:t>
      </w:r>
    </w:p>
    <w:p>
      <w:pPr>
        <w:spacing w:line="400" w:lineRule="exact"/>
        <w:ind w:firstLine="420" w:firstLineChars="200"/>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4、 谈判小组不向未成交的竞标投标人解释未成交原因，也不对谈判过程中的细节问题进行公布。</w:t>
      </w:r>
    </w:p>
    <w:p>
      <w:pPr>
        <w:pStyle w:val="4"/>
      </w:pPr>
      <w:bookmarkStart w:id="41" w:name="_Toc25777"/>
      <w:bookmarkStart w:id="42" w:name="_Toc28685"/>
      <w:bookmarkStart w:id="43" w:name="_Toc2348"/>
      <w:r>
        <w:rPr>
          <w:rFonts w:hint="eastAsia"/>
        </w:rPr>
        <w:t>六、成交通知</w:t>
      </w:r>
      <w:bookmarkEnd w:id="41"/>
      <w:bookmarkEnd w:id="42"/>
      <w:bookmarkEnd w:id="43"/>
    </w:p>
    <w:p>
      <w:pPr>
        <w:spacing w:line="400" w:lineRule="exact"/>
        <w:rPr>
          <w:rFonts w:hint="eastAsia" w:ascii="宋体" w:hAnsi="宋体" w:eastAsia="宋体" w:cs="宋体"/>
          <w:color w:val="000000"/>
          <w:sz w:val="21"/>
          <w:szCs w:val="21"/>
        </w:rPr>
      </w:pPr>
      <w:r>
        <w:rPr>
          <w:rFonts w:hint="eastAsia" w:ascii="宋体" w:hAnsi="宋体" w:eastAsia="宋体" w:cs="宋体"/>
          <w:b/>
          <w:bCs/>
          <w:color w:val="000000"/>
          <w:sz w:val="21"/>
          <w:szCs w:val="21"/>
          <w:lang w:val="zh-CN"/>
        </w:rPr>
        <w:t>（二十七）</w:t>
      </w:r>
      <w:r>
        <w:rPr>
          <w:rFonts w:hint="eastAsia" w:ascii="宋体" w:hAnsi="宋体" w:eastAsia="宋体" w:cs="宋体"/>
          <w:color w:val="000000"/>
          <w:sz w:val="21"/>
          <w:szCs w:val="21"/>
          <w:lang w:val="zh-CN"/>
        </w:rPr>
        <w:t>谈判结束</w:t>
      </w:r>
      <w:r>
        <w:rPr>
          <w:rFonts w:hint="eastAsia" w:ascii="宋体" w:hAnsi="宋体" w:eastAsia="宋体" w:cs="宋体"/>
          <w:color w:val="000000"/>
          <w:sz w:val="21"/>
          <w:szCs w:val="21"/>
        </w:rPr>
        <w:t>7日内，</w:t>
      </w:r>
      <w:r>
        <w:rPr>
          <w:rFonts w:hint="eastAsia" w:ascii="宋体" w:hAnsi="宋体" w:eastAsia="宋体" w:cs="宋体"/>
          <w:color w:val="000000"/>
          <w:sz w:val="21"/>
          <w:szCs w:val="21"/>
          <w:lang w:val="en-US" w:eastAsia="zh-CN"/>
        </w:rPr>
        <w:t>招标人</w:t>
      </w:r>
      <w:r>
        <w:rPr>
          <w:rFonts w:hint="eastAsia" w:ascii="宋体" w:hAnsi="宋体" w:eastAsia="宋体" w:cs="宋体"/>
          <w:color w:val="000000"/>
          <w:sz w:val="21"/>
          <w:szCs w:val="21"/>
        </w:rPr>
        <w:t>将以书面形式发出《竞争性谈判</w:t>
      </w:r>
      <w:r>
        <w:rPr>
          <w:rFonts w:hint="eastAsia" w:ascii="宋体" w:hAnsi="宋体" w:eastAsia="宋体" w:cs="宋体"/>
          <w:color w:val="000000"/>
          <w:sz w:val="21"/>
          <w:szCs w:val="21"/>
          <w:lang w:val="en-US" w:eastAsia="zh-CN"/>
        </w:rPr>
        <w:t>招标</w:t>
      </w:r>
      <w:r>
        <w:rPr>
          <w:rFonts w:hint="eastAsia" w:ascii="宋体" w:hAnsi="宋体" w:eastAsia="宋体" w:cs="宋体"/>
          <w:color w:val="000000"/>
          <w:sz w:val="21"/>
          <w:szCs w:val="21"/>
        </w:rPr>
        <w:t>结果通知书》，《竞争性谈判</w:t>
      </w:r>
      <w:r>
        <w:rPr>
          <w:rFonts w:hint="eastAsia" w:ascii="宋体" w:hAnsi="宋体" w:eastAsia="宋体" w:cs="宋体"/>
          <w:color w:val="000000"/>
          <w:sz w:val="21"/>
          <w:szCs w:val="21"/>
          <w:lang w:val="en-US" w:eastAsia="zh-CN"/>
        </w:rPr>
        <w:t>招标</w:t>
      </w:r>
      <w:r>
        <w:rPr>
          <w:rFonts w:hint="eastAsia" w:ascii="宋体" w:hAnsi="宋体" w:eastAsia="宋体" w:cs="宋体"/>
          <w:color w:val="000000"/>
          <w:sz w:val="21"/>
          <w:szCs w:val="21"/>
        </w:rPr>
        <w:t>结果通知书》一经发出即发生法律效应。</w:t>
      </w:r>
    </w:p>
    <w:p>
      <w:pPr>
        <w:spacing w:line="400" w:lineRule="exact"/>
        <w:rPr>
          <w:rFonts w:hint="eastAsia" w:ascii="宋体" w:hAnsi="宋体" w:eastAsia="宋体" w:cs="宋体"/>
          <w:color w:val="000000"/>
          <w:sz w:val="21"/>
          <w:szCs w:val="21"/>
        </w:rPr>
      </w:pPr>
      <w:r>
        <w:rPr>
          <w:rFonts w:hint="eastAsia" w:ascii="宋体" w:hAnsi="宋体" w:eastAsia="宋体" w:cs="宋体"/>
          <w:b/>
          <w:bCs/>
          <w:color w:val="000000"/>
          <w:sz w:val="21"/>
          <w:szCs w:val="21"/>
        </w:rPr>
        <w:t>（二十八）</w:t>
      </w:r>
      <w:r>
        <w:rPr>
          <w:rFonts w:hint="eastAsia" w:ascii="宋体" w:hAnsi="宋体" w:eastAsia="宋体" w:cs="宋体"/>
          <w:color w:val="000000"/>
          <w:sz w:val="21"/>
          <w:szCs w:val="21"/>
        </w:rPr>
        <w:t>《竞争性谈判</w:t>
      </w:r>
      <w:r>
        <w:rPr>
          <w:rFonts w:hint="eastAsia" w:ascii="宋体" w:hAnsi="宋体" w:eastAsia="宋体" w:cs="宋体"/>
          <w:color w:val="000000"/>
          <w:sz w:val="21"/>
          <w:szCs w:val="21"/>
          <w:lang w:val="en-US" w:eastAsia="zh-CN"/>
        </w:rPr>
        <w:t>招标</w:t>
      </w:r>
      <w:r>
        <w:rPr>
          <w:rFonts w:hint="eastAsia" w:ascii="宋体" w:hAnsi="宋体" w:eastAsia="宋体" w:cs="宋体"/>
          <w:color w:val="000000"/>
          <w:sz w:val="21"/>
          <w:szCs w:val="21"/>
        </w:rPr>
        <w:t>结果通知书》最为签订合同的重要依据之一。</w:t>
      </w:r>
    </w:p>
    <w:p>
      <w:pPr>
        <w:spacing w:line="400" w:lineRule="exact"/>
        <w:rPr>
          <w:rFonts w:hint="eastAsia" w:ascii="宋体" w:hAnsi="宋体" w:eastAsia="宋体" w:cs="宋体"/>
          <w:color w:val="000000"/>
          <w:sz w:val="21"/>
          <w:szCs w:val="21"/>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b/>
          <w:bCs/>
          <w:color w:val="000000"/>
          <w:sz w:val="21"/>
          <w:szCs w:val="21"/>
        </w:rPr>
        <w:t>（二十九）</w:t>
      </w:r>
      <w:r>
        <w:rPr>
          <w:rFonts w:hint="eastAsia" w:ascii="宋体" w:hAnsi="宋体" w:eastAsia="宋体" w:cs="宋体"/>
          <w:color w:val="000000"/>
          <w:sz w:val="21"/>
          <w:szCs w:val="21"/>
        </w:rPr>
        <w:t>对未成交者，</w:t>
      </w:r>
      <w:r>
        <w:rPr>
          <w:rFonts w:hint="eastAsia" w:ascii="宋体" w:hAnsi="宋体" w:eastAsia="宋体" w:cs="宋体"/>
          <w:color w:val="000000"/>
          <w:sz w:val="21"/>
          <w:szCs w:val="21"/>
          <w:lang w:val="en-US" w:eastAsia="zh-CN"/>
        </w:rPr>
        <w:t>招标人</w:t>
      </w:r>
      <w:r>
        <w:rPr>
          <w:rFonts w:hint="eastAsia" w:ascii="宋体" w:hAnsi="宋体" w:eastAsia="宋体" w:cs="宋体"/>
          <w:color w:val="000000"/>
          <w:sz w:val="21"/>
          <w:szCs w:val="21"/>
        </w:rPr>
        <w:t>不对未成交原因做出解释</w:t>
      </w:r>
    </w:p>
    <w:p>
      <w:pPr>
        <w:pStyle w:val="3"/>
        <w:rPr>
          <w:rFonts w:hint="eastAsia" w:eastAsiaTheme="minorEastAsia"/>
          <w:lang w:val="en-US" w:eastAsia="zh-CN"/>
        </w:rPr>
      </w:pPr>
      <w:bookmarkStart w:id="44" w:name="_Toc31959"/>
      <w:bookmarkStart w:id="45" w:name="_Toc8699"/>
      <w:bookmarkStart w:id="46" w:name="_Toc27048"/>
      <w:r>
        <w:rPr>
          <w:rFonts w:hint="eastAsia"/>
        </w:rPr>
        <w:t>第</w:t>
      </w:r>
      <w:r>
        <w:rPr>
          <w:rFonts w:hint="eastAsia"/>
          <w:lang w:val="en-US" w:eastAsia="zh-CN"/>
        </w:rPr>
        <w:t>四</w:t>
      </w:r>
      <w:r>
        <w:rPr>
          <w:rFonts w:hint="eastAsia"/>
        </w:rPr>
        <w:t>部分 合同</w:t>
      </w:r>
      <w:bookmarkEnd w:id="44"/>
      <w:r>
        <w:rPr>
          <w:rFonts w:hint="eastAsia"/>
          <w:lang w:val="en-US" w:eastAsia="zh-CN"/>
        </w:rPr>
        <w:t>模板</w:t>
      </w:r>
      <w:bookmarkEnd w:id="45"/>
      <w:bookmarkEnd w:id="46"/>
    </w:p>
    <w:p>
      <w:pPr>
        <w:jc w:val="center"/>
        <w:outlineLvl w:val="9"/>
        <w:rPr>
          <w:rFonts w:hint="eastAsia"/>
          <w:lang w:val="en-US" w:eastAsia="zh-CN"/>
        </w:rPr>
      </w:pPr>
      <w:bookmarkStart w:id="47" w:name="_Toc20533"/>
      <w:r>
        <w:rPr>
          <w:rFonts w:hint="eastAsia"/>
        </w:rPr>
        <w:t>前海交易广场停车场交流充电桩投资建设运</w:t>
      </w:r>
      <w:r>
        <w:rPr>
          <w:rFonts w:hint="eastAsia"/>
          <w:lang w:val="en-US" w:eastAsia="zh-CN"/>
        </w:rPr>
        <w:t>合作协议</w:t>
      </w:r>
    </w:p>
    <w:p>
      <w:pPr>
        <w:spacing w:line="400" w:lineRule="exact"/>
        <w:outlineLvl w:val="9"/>
      </w:pPr>
      <w:r>
        <w:rPr>
          <w:rFonts w:hint="eastAsia"/>
        </w:rPr>
        <w:t>甲方：深圳市前海智慧</w:t>
      </w:r>
      <w:r>
        <w:rPr>
          <w:rFonts w:hint="eastAsia"/>
          <w:lang w:val="en-US" w:eastAsia="zh-CN"/>
        </w:rPr>
        <w:t>园区</w:t>
      </w:r>
      <w:r>
        <w:rPr>
          <w:rFonts w:hint="eastAsia"/>
        </w:rPr>
        <w:t>有限公司</w:t>
      </w:r>
    </w:p>
    <w:p>
      <w:pPr>
        <w:spacing w:line="400" w:lineRule="exact"/>
        <w:outlineLvl w:val="9"/>
        <w:rPr>
          <w:rFonts w:hint="eastAsia"/>
          <w:lang w:val="en-US" w:eastAsia="zh-CN"/>
        </w:rPr>
      </w:pPr>
      <w:r>
        <w:rPr>
          <w:rFonts w:hint="eastAsia"/>
        </w:rPr>
        <w:t>法定代表人:季楷丰</w:t>
      </w:r>
    </w:p>
    <w:p>
      <w:pPr>
        <w:spacing w:line="400" w:lineRule="exact"/>
        <w:outlineLvl w:val="9"/>
      </w:pPr>
      <w:r>
        <w:rPr>
          <w:rFonts w:hint="eastAsia"/>
        </w:rPr>
        <w:t>公司地址: 深圳市前海合作区</w:t>
      </w:r>
      <w:r>
        <w:rPr>
          <w:rFonts w:hint="eastAsia"/>
          <w:lang w:val="en-US" w:eastAsia="zh-CN"/>
        </w:rPr>
        <w:t>前海深港青年梦工场北区C座402、403室</w:t>
      </w:r>
    </w:p>
    <w:p>
      <w:pPr>
        <w:spacing w:line="400" w:lineRule="exact"/>
      </w:pPr>
    </w:p>
    <w:p>
      <w:pPr>
        <w:spacing w:line="400" w:lineRule="exact"/>
        <w:outlineLvl w:val="9"/>
      </w:pPr>
      <w:r>
        <w:rPr>
          <w:rFonts w:hint="eastAsia"/>
        </w:rPr>
        <w:t>乙方：</w:t>
      </w:r>
    </w:p>
    <w:p>
      <w:pPr>
        <w:spacing w:line="400" w:lineRule="exact"/>
        <w:outlineLvl w:val="9"/>
      </w:pPr>
      <w:r>
        <w:rPr>
          <w:rFonts w:hint="eastAsia"/>
          <w:lang w:val="en-US" w:eastAsia="zh-CN"/>
        </w:rPr>
        <w:t>法定代表人</w:t>
      </w:r>
      <w:r>
        <w:rPr>
          <w:rFonts w:hint="eastAsia"/>
        </w:rPr>
        <w:t>:</w:t>
      </w:r>
    </w:p>
    <w:p>
      <w:pPr>
        <w:spacing w:line="400" w:lineRule="exact"/>
        <w:outlineLvl w:val="9"/>
      </w:pPr>
      <w:r>
        <w:rPr>
          <w:rFonts w:hint="eastAsia"/>
        </w:rPr>
        <w:t xml:space="preserve">公司地址: </w:t>
      </w:r>
    </w:p>
    <w:p>
      <w:pPr>
        <w:spacing w:line="500" w:lineRule="exact"/>
        <w:rPr>
          <w:rFonts w:hint="eastAsia" w:cs="仿宋_GB2312" w:asciiTheme="minorEastAsia" w:hAnsiTheme="minorEastAsia"/>
          <w:b/>
          <w:bCs/>
          <w:sz w:val="24"/>
        </w:rPr>
      </w:pPr>
    </w:p>
    <w:p>
      <w:pPr>
        <w:spacing w:line="500" w:lineRule="exact"/>
        <w:ind w:firstLine="420" w:firstLineChars="200"/>
        <w:rPr>
          <w:rFonts w:hint="eastAsia" w:cs="仿宋_GB2312" w:asciiTheme="minorEastAsia" w:hAnsiTheme="minorEastAsia"/>
          <w:sz w:val="21"/>
          <w:szCs w:val="21"/>
        </w:rPr>
      </w:pPr>
      <w:r>
        <w:rPr>
          <w:rFonts w:hint="eastAsia"/>
          <w:lang w:val="en-US" w:eastAsia="zh-CN"/>
        </w:rPr>
        <w:t>根据</w:t>
      </w:r>
      <w:r>
        <w:rPr>
          <w:rFonts w:hint="eastAsia"/>
          <w:i w:val="0"/>
          <w:iCs w:val="0"/>
          <w:u w:val="single"/>
          <w:lang w:val="en-US" w:eastAsia="zh-CN"/>
        </w:rPr>
        <w:t>前海交易广场停车场交流充电桩投资建设运营项目</w:t>
      </w:r>
      <w:r>
        <w:rPr>
          <w:rFonts w:hint="eastAsia"/>
          <w:i w:val="0"/>
          <w:iCs w:val="0"/>
          <w:u w:val="none"/>
          <w:lang w:val="en-US" w:eastAsia="zh-CN"/>
        </w:rPr>
        <w:t>竞争性谈判结果。</w:t>
      </w:r>
      <w:r>
        <w:rPr>
          <w:rFonts w:hint="eastAsia"/>
          <w:i w:val="0"/>
          <w:iCs w:val="0"/>
          <w:u w:val="single"/>
          <w:lang w:val="en-US" w:eastAsia="zh-CN"/>
        </w:rPr>
        <w:t xml:space="preserve">         </w:t>
      </w:r>
      <w:r>
        <w:rPr>
          <w:rFonts w:hint="eastAsia"/>
          <w:i w:val="0"/>
          <w:iCs w:val="0"/>
          <w:u w:val="none"/>
          <w:lang w:val="en-US" w:eastAsia="zh-CN"/>
        </w:rPr>
        <w:t>为中选人。</w:t>
      </w:r>
      <w:r>
        <w:rPr>
          <w:rFonts w:hint="eastAsia" w:cs="仿宋_GB2312" w:asciiTheme="minorEastAsia" w:hAnsiTheme="minorEastAsia"/>
          <w:sz w:val="21"/>
          <w:szCs w:val="21"/>
        </w:rPr>
        <w:t>本着平等互利、诚信自愿的原则，经充分沟通、友好协商，甲乙双方就本项目投资建设及充电桩充电服务费收入分成机制达成如下协议：</w:t>
      </w:r>
    </w:p>
    <w:p>
      <w:pPr>
        <w:pageBreakBefore w:val="0"/>
        <w:widowControl w:val="0"/>
        <w:kinsoku/>
        <w:wordWrap/>
        <w:overflowPunct/>
        <w:topLinePunct w:val="0"/>
        <w:autoSpaceDE/>
        <w:autoSpaceDN/>
        <w:bidi w:val="0"/>
        <w:adjustRightInd/>
        <w:snapToGrid/>
        <w:spacing w:line="500" w:lineRule="exact"/>
        <w:ind w:left="-850" w:leftChars="-405" w:firstLine="1166" w:firstLineChars="553"/>
        <w:textAlignment w:val="auto"/>
        <w:outlineLvl w:val="0"/>
        <w:rPr>
          <w:rFonts w:cs="仿宋_GB2312" w:asciiTheme="minorEastAsia" w:hAnsiTheme="minorEastAsia"/>
          <w:b/>
          <w:bCs/>
          <w:sz w:val="21"/>
          <w:szCs w:val="21"/>
        </w:rPr>
      </w:pPr>
      <w:bookmarkStart w:id="48" w:name="_Toc3137"/>
      <w:bookmarkStart w:id="49" w:name="_Toc3820"/>
      <w:r>
        <w:rPr>
          <w:rFonts w:hint="eastAsia" w:cs="仿宋_GB2312" w:asciiTheme="minorEastAsia" w:hAnsiTheme="minorEastAsia"/>
          <w:b/>
          <w:bCs/>
          <w:sz w:val="21"/>
          <w:szCs w:val="21"/>
        </w:rPr>
        <w:t>一、合作内容</w:t>
      </w:r>
      <w:bookmarkEnd w:id="48"/>
      <w:bookmarkEnd w:id="49"/>
    </w:p>
    <w:p>
      <w:pPr>
        <w:pageBreakBefore w:val="0"/>
        <w:widowControl w:val="0"/>
        <w:kinsoku/>
        <w:wordWrap/>
        <w:overflowPunct/>
        <w:topLinePunct w:val="0"/>
        <w:autoSpaceDE/>
        <w:autoSpaceDN/>
        <w:bidi w:val="0"/>
        <w:adjustRightInd/>
        <w:snapToGrid/>
        <w:spacing w:line="500" w:lineRule="exact"/>
        <w:ind w:firstLine="420" w:firstLineChars="200"/>
        <w:textAlignment w:val="auto"/>
        <w:rPr>
          <w:rFonts w:cs="仿宋_GB2312" w:asciiTheme="minorEastAsia" w:hAnsiTheme="minorEastAsia"/>
          <w:sz w:val="21"/>
          <w:szCs w:val="21"/>
        </w:rPr>
      </w:pPr>
      <w:r>
        <w:rPr>
          <w:rFonts w:hint="eastAsia" w:cs="仿宋_GB2312" w:asciiTheme="minorEastAsia" w:hAnsiTheme="minorEastAsia"/>
          <w:sz w:val="21"/>
          <w:szCs w:val="21"/>
        </w:rPr>
        <w:t>（一）甲方同意乙方在甲方拥有所有权或长期使用</w:t>
      </w:r>
      <w:r>
        <w:rPr>
          <w:rFonts w:hint="eastAsia" w:cs="仿宋_GB2312" w:asciiTheme="minorEastAsia" w:hAnsiTheme="minorEastAsia"/>
          <w:sz w:val="21"/>
          <w:szCs w:val="21"/>
          <w:lang w:val="en-US" w:eastAsia="zh-CN"/>
        </w:rPr>
        <w:t>管理</w:t>
      </w:r>
      <w:r>
        <w:rPr>
          <w:rFonts w:hint="eastAsia" w:cs="仿宋_GB2312" w:asciiTheme="minorEastAsia" w:hAnsiTheme="minorEastAsia"/>
          <w:sz w:val="21"/>
          <w:szCs w:val="21"/>
        </w:rPr>
        <w:t>权的场地内（下称“合作场地”）指定的停车位，投资建设服务于社会电动车辆（指包括但不限于电动出租车、电动物流车、电动客车、电动乘用车等电动车辆）的充电设施及配套设备。</w:t>
      </w:r>
    </w:p>
    <w:p>
      <w:pPr>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cs="仿宋_GB2312" w:asciiTheme="minorEastAsia" w:hAnsiTheme="minorEastAsia" w:eastAsiaTheme="minorEastAsia"/>
          <w:sz w:val="21"/>
          <w:szCs w:val="21"/>
          <w:lang w:eastAsia="zh-CN"/>
        </w:rPr>
      </w:pPr>
      <w:r>
        <w:rPr>
          <w:rFonts w:hint="eastAsia" w:cs="仿宋_GB2312" w:asciiTheme="minorEastAsia" w:hAnsiTheme="minorEastAsia"/>
          <w:sz w:val="21"/>
          <w:szCs w:val="21"/>
        </w:rPr>
        <w:t>（二）甲方提供的合作场地位于</w:t>
      </w:r>
      <w:r>
        <w:rPr>
          <w:rFonts w:hint="eastAsia" w:cs="仿宋_GB2312" w:asciiTheme="minorEastAsia" w:hAnsiTheme="minorEastAsia"/>
          <w:sz w:val="21"/>
          <w:szCs w:val="21"/>
          <w:lang w:eastAsia="zh-CN"/>
        </w:rPr>
        <w:t>：</w:t>
      </w:r>
      <w:r>
        <w:rPr>
          <w:rFonts w:hint="eastAsia" w:cs="仿宋_GB2312" w:asciiTheme="minorEastAsia" w:hAnsiTheme="minorEastAsia"/>
          <w:szCs w:val="21"/>
          <w:u w:val="single"/>
        </w:rPr>
        <w:t>前海交易广场停车场</w:t>
      </w:r>
      <w:r>
        <w:rPr>
          <w:rFonts w:hint="eastAsia" w:cs="仿宋_GB2312" w:asciiTheme="minorEastAsia" w:hAnsiTheme="minorEastAsia"/>
          <w:sz w:val="21"/>
          <w:szCs w:val="21"/>
          <w:lang w:eastAsia="zh-CN"/>
        </w:rPr>
        <w:t>；</w:t>
      </w:r>
    </w:p>
    <w:p>
      <w:pPr>
        <w:pageBreakBefore w:val="0"/>
        <w:widowControl w:val="0"/>
        <w:kinsoku/>
        <w:wordWrap/>
        <w:overflowPunct/>
        <w:topLinePunct w:val="0"/>
        <w:autoSpaceDE/>
        <w:autoSpaceDN/>
        <w:bidi w:val="0"/>
        <w:adjustRightInd/>
        <w:snapToGrid/>
        <w:spacing w:line="500" w:lineRule="exact"/>
        <w:ind w:firstLine="420" w:firstLineChars="200"/>
        <w:textAlignment w:val="auto"/>
        <w:rPr>
          <w:rFonts w:cs="仿宋_GB2312" w:asciiTheme="minorEastAsia" w:hAnsiTheme="minorEastAsia"/>
          <w:sz w:val="21"/>
          <w:szCs w:val="21"/>
        </w:rPr>
      </w:pPr>
      <w:r>
        <w:rPr>
          <w:rFonts w:hint="eastAsia" w:cs="仿宋_GB2312" w:asciiTheme="minorEastAsia" w:hAnsiTheme="minorEastAsia"/>
          <w:sz w:val="21"/>
          <w:szCs w:val="21"/>
        </w:rPr>
        <w:t>具体建设情况为：乙方</w:t>
      </w:r>
      <w:r>
        <w:rPr>
          <w:rFonts w:hint="eastAsia" w:cs="仿宋_GB2312" w:asciiTheme="minorEastAsia" w:hAnsiTheme="minorEastAsia"/>
          <w:sz w:val="21"/>
          <w:szCs w:val="21"/>
          <w:lang w:val="en-US" w:eastAsia="zh-CN"/>
        </w:rPr>
        <w:t>投资建设</w:t>
      </w:r>
      <w:r>
        <w:rPr>
          <w:rFonts w:hint="eastAsia" w:cs="仿宋_GB2312" w:asciiTheme="minorEastAsia" w:hAnsiTheme="minorEastAsia"/>
          <w:sz w:val="21"/>
          <w:szCs w:val="21"/>
          <w:u w:val="single"/>
          <w:lang w:val="en-US" w:eastAsia="zh-CN"/>
        </w:rPr>
        <w:t xml:space="preserve">    </w:t>
      </w:r>
      <w:r>
        <w:rPr>
          <w:rFonts w:hint="eastAsia" w:cs="仿宋_GB2312" w:asciiTheme="minorEastAsia" w:hAnsiTheme="minorEastAsia"/>
          <w:sz w:val="21"/>
          <w:szCs w:val="21"/>
          <w:lang w:val="en-US" w:eastAsia="zh-CN"/>
        </w:rPr>
        <w:t>台</w:t>
      </w:r>
      <w:r>
        <w:rPr>
          <w:rFonts w:hint="eastAsia" w:cs="仿宋_GB2312" w:asciiTheme="minorEastAsia" w:hAnsiTheme="minorEastAsia"/>
          <w:sz w:val="21"/>
          <w:szCs w:val="21"/>
          <w:u w:val="single"/>
        </w:rPr>
        <w:t xml:space="preserve"> 7 </w:t>
      </w:r>
      <w:r>
        <w:rPr>
          <w:rFonts w:hint="eastAsia" w:cs="仿宋_GB2312" w:asciiTheme="minorEastAsia" w:hAnsiTheme="minorEastAsia"/>
          <w:sz w:val="21"/>
          <w:szCs w:val="21"/>
        </w:rPr>
        <w:t>千瓦交流充电桩及相关配套设施</w:t>
      </w:r>
      <w:r>
        <w:rPr>
          <w:rFonts w:hint="eastAsia" w:cs="仿宋_GB2312" w:asciiTheme="minorEastAsia" w:hAnsiTheme="minorEastAsia"/>
          <w:sz w:val="21"/>
          <w:szCs w:val="21"/>
          <w:lang w:eastAsia="zh-CN"/>
        </w:rPr>
        <w:t>，</w:t>
      </w:r>
      <w:r>
        <w:rPr>
          <w:rFonts w:hint="eastAsia" w:cs="仿宋_GB2312" w:asciiTheme="minorEastAsia" w:hAnsiTheme="minorEastAsia"/>
          <w:sz w:val="21"/>
          <w:szCs w:val="21"/>
          <w:lang w:val="en-US" w:eastAsia="zh-CN"/>
        </w:rPr>
        <w:t>其中</w:t>
      </w:r>
      <w:r>
        <w:rPr>
          <w:rFonts w:hint="eastAsia" w:cs="仿宋_GB2312" w:asciiTheme="minorEastAsia" w:hAnsiTheme="minorEastAsia"/>
          <w:sz w:val="21"/>
          <w:szCs w:val="21"/>
        </w:rPr>
        <w:t>在负二层</w:t>
      </w:r>
      <w:r>
        <w:rPr>
          <w:rFonts w:hint="eastAsia" w:cs="仿宋_GB2312" w:asciiTheme="minorEastAsia" w:hAnsiTheme="minorEastAsia"/>
          <w:sz w:val="21"/>
          <w:szCs w:val="21"/>
          <w:lang w:eastAsia="zh-CN"/>
        </w:rPr>
        <w:t>、</w:t>
      </w:r>
      <w:r>
        <w:rPr>
          <w:rFonts w:hint="eastAsia" w:cs="仿宋_GB2312" w:asciiTheme="minorEastAsia" w:hAnsiTheme="minorEastAsia"/>
          <w:sz w:val="21"/>
          <w:szCs w:val="21"/>
        </w:rPr>
        <w:t>负三层</w:t>
      </w:r>
      <w:r>
        <w:rPr>
          <w:rFonts w:hint="eastAsia" w:cs="仿宋_GB2312" w:asciiTheme="minorEastAsia" w:hAnsiTheme="minorEastAsia"/>
          <w:sz w:val="21"/>
          <w:szCs w:val="21"/>
          <w:lang w:val="en-US" w:eastAsia="zh-CN"/>
        </w:rPr>
        <w:t>分别为</w:t>
      </w:r>
      <w:r>
        <w:rPr>
          <w:rFonts w:hint="eastAsia" w:cs="仿宋_GB2312" w:asciiTheme="minorEastAsia" w:hAnsiTheme="minorEastAsia"/>
          <w:sz w:val="21"/>
          <w:szCs w:val="21"/>
          <w:u w:val="single"/>
          <w:lang w:val="en-US" w:eastAsia="zh-CN"/>
        </w:rPr>
        <w:t xml:space="preserve">      </w:t>
      </w:r>
      <w:r>
        <w:rPr>
          <w:rFonts w:hint="eastAsia" w:cs="仿宋_GB2312" w:asciiTheme="minorEastAsia" w:hAnsiTheme="minorEastAsia"/>
          <w:sz w:val="21"/>
          <w:szCs w:val="21"/>
          <w:u w:val="none"/>
          <w:lang w:val="en-US" w:eastAsia="zh-CN"/>
        </w:rPr>
        <w:t>、</w:t>
      </w:r>
      <w:r>
        <w:rPr>
          <w:rFonts w:hint="eastAsia" w:cs="仿宋_GB2312" w:asciiTheme="minorEastAsia" w:hAnsiTheme="minorEastAsia"/>
          <w:sz w:val="21"/>
          <w:szCs w:val="21"/>
          <w:u w:val="single"/>
          <w:lang w:val="en-US" w:eastAsia="zh-CN"/>
        </w:rPr>
        <w:t xml:space="preserve">     </w:t>
      </w:r>
      <w:r>
        <w:rPr>
          <w:rFonts w:hint="eastAsia" w:cs="仿宋_GB2312" w:asciiTheme="minorEastAsia" w:hAnsiTheme="minorEastAsia"/>
          <w:sz w:val="21"/>
          <w:szCs w:val="21"/>
          <w:lang w:val="en-US" w:eastAsia="zh-CN"/>
        </w:rPr>
        <w:t>台</w:t>
      </w:r>
      <w:r>
        <w:rPr>
          <w:rFonts w:hint="eastAsia" w:cs="仿宋_GB2312" w:asciiTheme="minorEastAsia" w:hAnsiTheme="minorEastAsia"/>
          <w:sz w:val="21"/>
          <w:szCs w:val="21"/>
        </w:rPr>
        <w:t>。</w:t>
      </w:r>
    </w:p>
    <w:p>
      <w:pPr>
        <w:pageBreakBefore w:val="0"/>
        <w:widowControl w:val="0"/>
        <w:kinsoku/>
        <w:wordWrap/>
        <w:overflowPunct/>
        <w:topLinePunct w:val="0"/>
        <w:autoSpaceDE/>
        <w:autoSpaceDN/>
        <w:bidi w:val="0"/>
        <w:adjustRightInd/>
        <w:snapToGrid/>
        <w:spacing w:line="500" w:lineRule="exact"/>
        <w:ind w:firstLine="420" w:firstLineChars="200"/>
        <w:textAlignment w:val="auto"/>
        <w:rPr>
          <w:rFonts w:cs="仿宋_GB2312" w:asciiTheme="minorEastAsia" w:hAnsiTheme="minorEastAsia"/>
          <w:sz w:val="21"/>
          <w:szCs w:val="21"/>
        </w:rPr>
      </w:pPr>
      <w:r>
        <w:rPr>
          <w:rFonts w:hint="eastAsia" w:cs="仿宋_GB2312" w:asciiTheme="minorEastAsia" w:hAnsiTheme="minorEastAsia"/>
          <w:sz w:val="21"/>
          <w:szCs w:val="21"/>
        </w:rPr>
        <w:t xml:space="preserve"> (三)乙方在合作场地内负责但不限于从低压相变出线端（含电表）至充电桩末端的电缆、</w:t>
      </w:r>
      <w:r>
        <w:rPr>
          <w:rFonts w:hint="eastAsia" w:cs="仿宋_GB2312" w:asciiTheme="minorEastAsia" w:hAnsiTheme="minorEastAsia"/>
          <w:sz w:val="21"/>
          <w:szCs w:val="21"/>
          <w:lang w:val="en-US" w:eastAsia="zh-CN"/>
        </w:rPr>
        <w:t>充电桩</w:t>
      </w:r>
      <w:r>
        <w:rPr>
          <w:rFonts w:hint="eastAsia" w:cs="仿宋_GB2312" w:asciiTheme="minorEastAsia" w:hAnsiTheme="minorEastAsia"/>
          <w:sz w:val="21"/>
          <w:szCs w:val="21"/>
        </w:rPr>
        <w:t>设备</w:t>
      </w:r>
      <w:r>
        <w:rPr>
          <w:rFonts w:hint="eastAsia" w:cs="仿宋_GB2312" w:asciiTheme="minorEastAsia" w:hAnsiTheme="minorEastAsia"/>
          <w:sz w:val="21"/>
          <w:szCs w:val="21"/>
          <w:lang w:eastAsia="zh-CN"/>
        </w:rPr>
        <w:t>、</w:t>
      </w:r>
      <w:r>
        <w:rPr>
          <w:rFonts w:hint="eastAsia" w:cs="仿宋_GB2312" w:asciiTheme="minorEastAsia" w:hAnsiTheme="minorEastAsia"/>
          <w:sz w:val="21"/>
          <w:szCs w:val="21"/>
          <w:lang w:val="en-US" w:eastAsia="zh-CN"/>
        </w:rPr>
        <w:t>桥架及其他附属设施设备的</w:t>
      </w:r>
      <w:r>
        <w:rPr>
          <w:rFonts w:hint="eastAsia" w:cs="仿宋_GB2312" w:asciiTheme="minorEastAsia" w:hAnsiTheme="minorEastAsia"/>
          <w:sz w:val="21"/>
          <w:szCs w:val="21"/>
        </w:rPr>
        <w:t>采购安装的全部投资建设、安装、调试、运营维护</w:t>
      </w:r>
      <w:r>
        <w:rPr>
          <w:rFonts w:hint="eastAsia" w:cs="仿宋_GB2312" w:asciiTheme="minorEastAsia" w:hAnsiTheme="minorEastAsia"/>
          <w:sz w:val="21"/>
          <w:szCs w:val="21"/>
          <w:lang w:val="en-US" w:eastAsia="zh-CN"/>
        </w:rPr>
        <w:t>及安全管理</w:t>
      </w:r>
      <w:r>
        <w:rPr>
          <w:rFonts w:hint="eastAsia" w:cs="仿宋_GB2312" w:asciiTheme="minorEastAsia" w:hAnsiTheme="minorEastAsia"/>
          <w:sz w:val="21"/>
          <w:szCs w:val="21"/>
        </w:rPr>
        <w:t>。</w:t>
      </w:r>
    </w:p>
    <w:p>
      <w:pPr>
        <w:pageBreakBefore w:val="0"/>
        <w:widowControl w:val="0"/>
        <w:kinsoku/>
        <w:wordWrap/>
        <w:overflowPunct/>
        <w:topLinePunct w:val="0"/>
        <w:autoSpaceDE/>
        <w:autoSpaceDN/>
        <w:bidi w:val="0"/>
        <w:adjustRightInd/>
        <w:snapToGrid/>
        <w:spacing w:line="500" w:lineRule="exact"/>
        <w:ind w:firstLine="420" w:firstLineChars="200"/>
        <w:textAlignment w:val="auto"/>
        <w:rPr>
          <w:rFonts w:cs="仿宋_GB2312" w:asciiTheme="minorEastAsia" w:hAnsiTheme="minorEastAsia"/>
          <w:sz w:val="21"/>
          <w:szCs w:val="21"/>
        </w:rPr>
      </w:pPr>
      <w:r>
        <w:rPr>
          <w:rFonts w:hint="eastAsia" w:cs="仿宋_GB2312" w:asciiTheme="minorEastAsia" w:hAnsiTheme="minorEastAsia"/>
          <w:sz w:val="21"/>
          <w:szCs w:val="21"/>
        </w:rPr>
        <w:t>（四）乙方在合作场地内所建充电设施及配套设备，纳入乙方整体的安全充电网络体系中，并提供安全充电服务。</w:t>
      </w:r>
    </w:p>
    <w:p>
      <w:pPr>
        <w:pageBreakBefore w:val="0"/>
        <w:widowControl w:val="0"/>
        <w:kinsoku/>
        <w:wordWrap/>
        <w:overflowPunct/>
        <w:topLinePunct w:val="0"/>
        <w:autoSpaceDE/>
        <w:autoSpaceDN/>
        <w:bidi w:val="0"/>
        <w:adjustRightInd/>
        <w:snapToGrid/>
        <w:spacing w:line="500" w:lineRule="exact"/>
        <w:ind w:firstLine="420" w:firstLineChars="200"/>
        <w:textAlignment w:val="auto"/>
        <w:rPr>
          <w:rFonts w:cs="仿宋_GB2312" w:asciiTheme="minorEastAsia" w:hAnsiTheme="minorEastAsia"/>
          <w:sz w:val="21"/>
          <w:szCs w:val="21"/>
        </w:rPr>
      </w:pPr>
      <w:r>
        <w:rPr>
          <w:rFonts w:hint="eastAsia" w:cs="仿宋_GB2312" w:asciiTheme="minorEastAsia" w:hAnsiTheme="minorEastAsia"/>
          <w:sz w:val="21"/>
          <w:szCs w:val="21"/>
        </w:rPr>
        <w:t>（五）乙方在合作场地内所建充电桩及配套设施使用甲方电力容量（因电力容量不足需向电力部门申请报装用电的由甲方负责）。</w:t>
      </w:r>
    </w:p>
    <w:p>
      <w:pPr>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cs="仿宋_GB2312" w:asciiTheme="minorEastAsia" w:hAnsiTheme="minorEastAsia"/>
          <w:sz w:val="21"/>
          <w:szCs w:val="21"/>
        </w:rPr>
      </w:pPr>
      <w:r>
        <w:rPr>
          <w:rFonts w:hint="eastAsia" w:cs="仿宋_GB2312" w:asciiTheme="minorEastAsia" w:hAnsiTheme="minorEastAsia"/>
          <w:sz w:val="21"/>
          <w:szCs w:val="21"/>
        </w:rPr>
        <w:t>（六）在合作期间，除经双方协商一致或乙方对已安装的充电桩及相关配套设施进行升级改造，甲方、乙方均不得拆除乙方根据本协议在甲方停车位所安装的充电桩及相关配套设施</w:t>
      </w:r>
      <w:r>
        <w:rPr>
          <w:rFonts w:hint="eastAsia" w:cs="仿宋_GB2312" w:asciiTheme="minorEastAsia" w:hAnsiTheme="minorEastAsia"/>
          <w:sz w:val="21"/>
          <w:szCs w:val="21"/>
          <w:lang w:eastAsia="zh-CN"/>
        </w:rPr>
        <w:t>，</w:t>
      </w:r>
      <w:r>
        <w:rPr>
          <w:rFonts w:hint="eastAsia" w:cs="仿宋_GB2312" w:asciiTheme="minorEastAsia" w:hAnsiTheme="minorEastAsia"/>
          <w:sz w:val="21"/>
          <w:szCs w:val="21"/>
          <w:lang w:val="en-US" w:eastAsia="zh-CN"/>
        </w:rPr>
        <w:t>本协议另有约定除外</w:t>
      </w:r>
      <w:r>
        <w:rPr>
          <w:rFonts w:hint="eastAsia" w:cs="仿宋_GB2312" w:asciiTheme="minorEastAsia" w:hAnsiTheme="minorEastAsia"/>
          <w:sz w:val="21"/>
          <w:szCs w:val="21"/>
        </w:rPr>
        <w:t>。</w:t>
      </w:r>
    </w:p>
    <w:p>
      <w:pPr>
        <w:pageBreakBefore w:val="0"/>
        <w:widowControl w:val="0"/>
        <w:kinsoku/>
        <w:wordWrap/>
        <w:overflowPunct/>
        <w:topLinePunct w:val="0"/>
        <w:autoSpaceDE/>
        <w:autoSpaceDN/>
        <w:bidi w:val="0"/>
        <w:adjustRightInd/>
        <w:snapToGrid/>
        <w:spacing w:line="500" w:lineRule="exact"/>
        <w:ind w:left="-850" w:leftChars="-405" w:firstLine="1166" w:firstLineChars="553"/>
        <w:textAlignment w:val="auto"/>
        <w:outlineLvl w:val="0"/>
        <w:rPr>
          <w:rFonts w:hint="eastAsia" w:cs="仿宋_GB2312" w:asciiTheme="minorEastAsia" w:hAnsiTheme="minorEastAsia"/>
          <w:b/>
          <w:bCs/>
          <w:sz w:val="21"/>
          <w:szCs w:val="21"/>
        </w:rPr>
      </w:pPr>
      <w:bookmarkStart w:id="50" w:name="_Toc3746"/>
      <w:bookmarkStart w:id="51" w:name="_Toc20781"/>
      <w:r>
        <w:rPr>
          <w:rFonts w:hint="eastAsia" w:cs="仿宋_GB2312" w:asciiTheme="minorEastAsia" w:hAnsiTheme="minorEastAsia"/>
          <w:b/>
          <w:bCs/>
          <w:sz w:val="21"/>
          <w:szCs w:val="21"/>
        </w:rPr>
        <w:t>二、运营及服务主体</w:t>
      </w:r>
      <w:bookmarkEnd w:id="50"/>
      <w:bookmarkEnd w:id="51"/>
    </w:p>
    <w:p>
      <w:pPr>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cs="仿宋_GB2312" w:asciiTheme="minorEastAsia" w:hAnsiTheme="minorEastAsia"/>
          <w:sz w:val="21"/>
          <w:szCs w:val="21"/>
        </w:rPr>
      </w:pPr>
      <w:r>
        <w:rPr>
          <w:rFonts w:hint="eastAsia" w:cs="仿宋_GB2312" w:asciiTheme="minorEastAsia" w:hAnsiTheme="minorEastAsia"/>
          <w:sz w:val="21"/>
          <w:szCs w:val="21"/>
        </w:rPr>
        <w:t>乙方作为合作场地内充电桩的运营主体，全权负责运营管理工作，向社会电动车辆提供充电服务，具体运营要求如下：</w:t>
      </w:r>
    </w:p>
    <w:p>
      <w:pPr>
        <w:pageBreakBefore w:val="0"/>
        <w:widowControl w:val="0"/>
        <w:kinsoku/>
        <w:wordWrap/>
        <w:overflowPunct/>
        <w:topLinePunct w:val="0"/>
        <w:autoSpaceDE/>
        <w:autoSpaceDN/>
        <w:bidi w:val="0"/>
        <w:adjustRightInd/>
        <w:snapToGrid/>
        <w:spacing w:line="500" w:lineRule="exact"/>
        <w:ind w:firstLine="420" w:firstLineChars="200"/>
        <w:textAlignment w:val="auto"/>
        <w:rPr>
          <w:rFonts w:hint="default" w:cs="仿宋_GB2312" w:asciiTheme="minorEastAsia" w:hAnsiTheme="minorEastAsia" w:eastAsiaTheme="minorEastAsia"/>
          <w:sz w:val="21"/>
          <w:szCs w:val="21"/>
          <w:lang w:val="en-US" w:eastAsia="zh-CN"/>
        </w:rPr>
      </w:pPr>
      <w:r>
        <w:rPr>
          <w:rFonts w:hint="eastAsia" w:cs="仿宋_GB2312" w:asciiTheme="minorEastAsia" w:hAnsiTheme="minorEastAsia"/>
          <w:sz w:val="21"/>
          <w:szCs w:val="21"/>
        </w:rPr>
        <w:t>1.充电桩开放数：合作场地内的全部充电桩（</w:t>
      </w:r>
      <w:r>
        <w:rPr>
          <w:rFonts w:hint="eastAsia" w:cs="仿宋_GB2312" w:asciiTheme="minorEastAsia" w:hAnsiTheme="minorEastAsia"/>
          <w:sz w:val="21"/>
          <w:szCs w:val="21"/>
          <w:u w:val="single"/>
          <w:lang w:val="en-US" w:eastAsia="zh-CN"/>
        </w:rPr>
        <w:t xml:space="preserve">     </w:t>
      </w:r>
      <w:r>
        <w:rPr>
          <w:rFonts w:hint="eastAsia" w:cs="仿宋_GB2312" w:asciiTheme="minorEastAsia" w:hAnsiTheme="minorEastAsia"/>
          <w:sz w:val="21"/>
          <w:szCs w:val="21"/>
          <w:lang w:val="en-US" w:eastAsia="zh-CN"/>
        </w:rPr>
        <w:t>台</w:t>
      </w:r>
      <w:r>
        <w:rPr>
          <w:rFonts w:hint="eastAsia" w:cs="仿宋_GB2312" w:asciiTheme="minorEastAsia" w:hAnsiTheme="minorEastAsia"/>
          <w:sz w:val="21"/>
          <w:szCs w:val="21"/>
        </w:rPr>
        <w:t>7KW交流充电桩）。</w:t>
      </w:r>
      <w:r>
        <w:rPr>
          <w:rFonts w:hint="eastAsia" w:cs="仿宋_GB2312" w:asciiTheme="minorEastAsia" w:hAnsiTheme="minorEastAsia"/>
          <w:sz w:val="21"/>
          <w:szCs w:val="21"/>
          <w:lang w:val="en-US" w:eastAsia="zh-CN"/>
        </w:rPr>
        <w:t>设备故障率不得超过5%，乙方需保障故障设备修复时长不超过48小时，确需超过48小时修复的，乙方应及时告知甲方。</w:t>
      </w:r>
    </w:p>
    <w:p>
      <w:pPr>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cs="仿宋_GB2312" w:asciiTheme="minorEastAsia" w:hAnsiTheme="minorEastAsia"/>
          <w:sz w:val="21"/>
          <w:szCs w:val="21"/>
        </w:rPr>
      </w:pPr>
      <w:r>
        <w:rPr>
          <w:rFonts w:hint="eastAsia" w:cs="仿宋_GB2312" w:asciiTheme="minorEastAsia" w:hAnsiTheme="minorEastAsia"/>
          <w:sz w:val="21"/>
          <w:szCs w:val="21"/>
        </w:rPr>
        <w:t>2.开放时间：全天候开放。</w:t>
      </w:r>
    </w:p>
    <w:p>
      <w:pPr>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cs="仿宋_GB2312" w:asciiTheme="minorEastAsia" w:hAnsiTheme="minorEastAsia"/>
          <w:sz w:val="21"/>
          <w:szCs w:val="21"/>
        </w:rPr>
      </w:pPr>
      <w:r>
        <w:rPr>
          <w:rFonts w:hint="eastAsia" w:cs="仿宋_GB2312" w:asciiTheme="minorEastAsia" w:hAnsiTheme="minorEastAsia"/>
          <w:sz w:val="21"/>
          <w:szCs w:val="21"/>
        </w:rPr>
        <w:t>3.开放对象：包括但不限于电动出租车、电动物流车、电动客车、电动乘用车等纯电动或插电混动车辆。</w:t>
      </w:r>
    </w:p>
    <w:p>
      <w:pPr>
        <w:pageBreakBefore w:val="0"/>
        <w:widowControl w:val="0"/>
        <w:kinsoku/>
        <w:wordWrap/>
        <w:overflowPunct/>
        <w:topLinePunct w:val="0"/>
        <w:autoSpaceDE/>
        <w:autoSpaceDN/>
        <w:bidi w:val="0"/>
        <w:adjustRightInd/>
        <w:snapToGrid/>
        <w:spacing w:line="500" w:lineRule="exact"/>
        <w:ind w:left="-850" w:leftChars="-405" w:firstLine="1166" w:firstLineChars="553"/>
        <w:textAlignment w:val="auto"/>
        <w:outlineLvl w:val="0"/>
        <w:rPr>
          <w:rFonts w:hint="eastAsia" w:cs="仿宋_GB2312" w:asciiTheme="minorEastAsia" w:hAnsiTheme="minorEastAsia"/>
          <w:b/>
          <w:bCs/>
          <w:sz w:val="21"/>
          <w:szCs w:val="21"/>
        </w:rPr>
      </w:pPr>
      <w:bookmarkStart w:id="52" w:name="_Toc11099"/>
      <w:bookmarkStart w:id="53" w:name="_Toc27372"/>
      <w:r>
        <w:rPr>
          <w:rFonts w:hint="eastAsia" w:cs="仿宋_GB2312" w:asciiTheme="minorEastAsia" w:hAnsiTheme="minorEastAsia"/>
          <w:b/>
          <w:bCs/>
          <w:sz w:val="21"/>
          <w:szCs w:val="21"/>
        </w:rPr>
        <w:t>三、服务内容及方式</w:t>
      </w:r>
      <w:bookmarkEnd w:id="52"/>
      <w:bookmarkEnd w:id="53"/>
    </w:p>
    <w:p>
      <w:pPr>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cs="仿宋_GB2312" w:asciiTheme="minorEastAsia" w:hAnsiTheme="minorEastAsia"/>
          <w:sz w:val="21"/>
          <w:szCs w:val="21"/>
        </w:rPr>
      </w:pPr>
      <w:r>
        <w:rPr>
          <w:rFonts w:hint="eastAsia" w:cs="仿宋_GB2312" w:asciiTheme="minorEastAsia" w:hAnsiTheme="minorEastAsia"/>
          <w:sz w:val="21"/>
          <w:szCs w:val="21"/>
        </w:rPr>
        <w:t>乙方对于符合国家相关标准、深圳市相关技术规范的的电动车辆提供如下服务：</w:t>
      </w:r>
    </w:p>
    <w:p>
      <w:pPr>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cs="仿宋_GB2312" w:asciiTheme="minorEastAsia" w:hAnsiTheme="minorEastAsia"/>
          <w:sz w:val="21"/>
          <w:szCs w:val="21"/>
        </w:rPr>
      </w:pPr>
      <w:r>
        <w:rPr>
          <w:rFonts w:hint="eastAsia" w:cs="仿宋_GB2312" w:asciiTheme="minorEastAsia" w:hAnsiTheme="minorEastAsia"/>
          <w:sz w:val="21"/>
          <w:szCs w:val="21"/>
        </w:rPr>
        <w:t>1.提供纯电动车辆安全可靠的充电等服务。</w:t>
      </w:r>
    </w:p>
    <w:p>
      <w:pPr>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cs="仿宋_GB2312" w:asciiTheme="minorEastAsia" w:hAnsiTheme="minorEastAsia"/>
          <w:sz w:val="21"/>
          <w:szCs w:val="21"/>
        </w:rPr>
      </w:pPr>
      <w:r>
        <w:rPr>
          <w:rFonts w:hint="eastAsia" w:cs="仿宋_GB2312" w:asciiTheme="minorEastAsia" w:hAnsiTheme="minorEastAsia"/>
          <w:sz w:val="21"/>
          <w:szCs w:val="21"/>
        </w:rPr>
        <w:t>2.提供充电智能监控平台，对车辆充电过程全方位监控。</w:t>
      </w:r>
    </w:p>
    <w:p>
      <w:pPr>
        <w:pageBreakBefore w:val="0"/>
        <w:widowControl w:val="0"/>
        <w:kinsoku/>
        <w:wordWrap/>
        <w:overflowPunct/>
        <w:topLinePunct w:val="0"/>
        <w:autoSpaceDE/>
        <w:autoSpaceDN/>
        <w:bidi w:val="0"/>
        <w:adjustRightInd/>
        <w:snapToGrid/>
        <w:spacing w:line="500" w:lineRule="exact"/>
        <w:ind w:left="-850" w:leftChars="-405" w:firstLine="1166" w:firstLineChars="553"/>
        <w:textAlignment w:val="auto"/>
        <w:outlineLvl w:val="0"/>
        <w:rPr>
          <w:rFonts w:hint="default" w:cs="仿宋_GB2312" w:asciiTheme="minorEastAsia" w:hAnsiTheme="minorEastAsia" w:eastAsiaTheme="minorEastAsia"/>
          <w:b/>
          <w:bCs/>
          <w:sz w:val="21"/>
          <w:szCs w:val="21"/>
          <w:lang w:val="en-US" w:eastAsia="zh-CN"/>
        </w:rPr>
      </w:pPr>
      <w:bookmarkStart w:id="54" w:name="_Toc17771"/>
      <w:bookmarkStart w:id="55" w:name="_Toc1532"/>
      <w:r>
        <w:rPr>
          <w:rFonts w:hint="eastAsia" w:cs="仿宋_GB2312" w:asciiTheme="minorEastAsia" w:hAnsiTheme="minorEastAsia"/>
          <w:b/>
          <w:bCs/>
          <w:sz w:val="21"/>
          <w:szCs w:val="21"/>
          <w:lang w:val="en-US" w:eastAsia="zh-CN"/>
        </w:rPr>
        <w:t>四、</w:t>
      </w:r>
      <w:r>
        <w:rPr>
          <w:rFonts w:hint="eastAsia" w:cs="仿宋_GB2312" w:asciiTheme="minorEastAsia" w:hAnsiTheme="minorEastAsia"/>
          <w:b/>
          <w:bCs/>
          <w:sz w:val="21"/>
          <w:szCs w:val="21"/>
        </w:rPr>
        <w:t>合作期限</w:t>
      </w:r>
      <w:bookmarkEnd w:id="54"/>
      <w:bookmarkEnd w:id="55"/>
    </w:p>
    <w:p>
      <w:pPr>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cstheme="minorEastAsia"/>
          <w:color w:val="auto"/>
          <w:sz w:val="21"/>
          <w:szCs w:val="21"/>
          <w:lang w:val="en-US" w:eastAsia="zh-CN"/>
        </w:rPr>
      </w:pPr>
      <w:r>
        <w:rPr>
          <w:rFonts w:hint="eastAsia" w:asciiTheme="minorEastAsia" w:hAnsiTheme="minorEastAsia" w:cstheme="minorEastAsia"/>
          <w:color w:val="auto"/>
          <w:sz w:val="21"/>
          <w:szCs w:val="21"/>
        </w:rPr>
        <w:t>合作期限为</w:t>
      </w:r>
      <w:r>
        <w:rPr>
          <w:rFonts w:hint="eastAsia" w:asciiTheme="minorEastAsia" w:hAnsiTheme="minorEastAsia" w:cstheme="minorEastAsia"/>
          <w:color w:val="auto"/>
          <w:sz w:val="21"/>
          <w:szCs w:val="21"/>
          <w:lang w:val="en-US" w:eastAsia="zh-CN"/>
        </w:rPr>
        <w:t>暂定</w:t>
      </w:r>
      <w:r>
        <w:rPr>
          <w:rFonts w:hint="eastAsia" w:asciiTheme="minorEastAsia" w:hAnsiTheme="minorEastAsia" w:cstheme="minorEastAsia"/>
          <w:color w:val="auto"/>
          <w:sz w:val="21"/>
          <w:szCs w:val="21"/>
        </w:rPr>
        <w:t>自202</w:t>
      </w:r>
      <w:r>
        <w:rPr>
          <w:rFonts w:hint="eastAsia" w:asciiTheme="minorEastAsia" w:hAnsiTheme="minorEastAsia" w:cstheme="minorEastAsia"/>
          <w:color w:val="auto"/>
          <w:sz w:val="21"/>
          <w:szCs w:val="21"/>
          <w:lang w:val="en-US" w:eastAsia="zh-CN"/>
        </w:rPr>
        <w:t>3</w:t>
      </w:r>
      <w:r>
        <w:rPr>
          <w:rFonts w:hint="eastAsia" w:asciiTheme="minorEastAsia" w:hAnsiTheme="minorEastAsia" w:cstheme="minorEastAsia"/>
          <w:color w:val="auto"/>
          <w:sz w:val="21"/>
          <w:szCs w:val="21"/>
        </w:rPr>
        <w:t>年</w:t>
      </w:r>
      <w:r>
        <w:rPr>
          <w:rFonts w:hint="eastAsia" w:asciiTheme="minorEastAsia" w:hAnsiTheme="minorEastAsia" w:cstheme="minorEastAsia"/>
          <w:color w:val="auto"/>
          <w:sz w:val="21"/>
          <w:szCs w:val="21"/>
          <w:u w:val="single"/>
          <w:lang w:val="en-US" w:eastAsia="zh-CN"/>
        </w:rPr>
        <w:t xml:space="preserve">    </w:t>
      </w:r>
      <w:r>
        <w:rPr>
          <w:rFonts w:hint="eastAsia" w:asciiTheme="minorEastAsia" w:hAnsiTheme="minorEastAsia" w:cstheme="minorEastAsia"/>
          <w:color w:val="auto"/>
          <w:sz w:val="21"/>
          <w:szCs w:val="21"/>
        </w:rPr>
        <w:t>月</w:t>
      </w:r>
      <w:r>
        <w:rPr>
          <w:rFonts w:hint="eastAsia" w:asciiTheme="minorEastAsia" w:hAnsiTheme="minorEastAsia" w:cstheme="minorEastAsia"/>
          <w:color w:val="auto"/>
          <w:sz w:val="21"/>
          <w:szCs w:val="21"/>
          <w:u w:val="single"/>
          <w:lang w:eastAsia="zh-CN"/>
        </w:rPr>
        <w:t xml:space="preserve"> </w:t>
      </w:r>
      <w:r>
        <w:rPr>
          <w:rFonts w:hint="eastAsia" w:asciiTheme="minorEastAsia" w:hAnsiTheme="minorEastAsia" w:cstheme="minorEastAsia"/>
          <w:color w:val="auto"/>
          <w:sz w:val="21"/>
          <w:szCs w:val="21"/>
          <w:u w:val="single"/>
          <w:lang w:val="en-US" w:eastAsia="zh-CN"/>
        </w:rPr>
        <w:t xml:space="preserve">   </w:t>
      </w:r>
      <w:r>
        <w:rPr>
          <w:rFonts w:hint="eastAsia" w:asciiTheme="minorEastAsia" w:hAnsiTheme="minorEastAsia" w:cstheme="minorEastAsia"/>
          <w:color w:val="auto"/>
          <w:sz w:val="21"/>
          <w:szCs w:val="21"/>
        </w:rPr>
        <w:t>日～20</w:t>
      </w:r>
      <w:r>
        <w:rPr>
          <w:rFonts w:hint="eastAsia" w:asciiTheme="minorEastAsia" w:hAnsiTheme="minorEastAsia" w:cstheme="minorEastAsia"/>
          <w:color w:val="auto"/>
          <w:sz w:val="21"/>
          <w:szCs w:val="21"/>
          <w:lang w:val="en-US" w:eastAsia="zh-CN"/>
        </w:rPr>
        <w:t>33</w:t>
      </w:r>
      <w:r>
        <w:rPr>
          <w:rFonts w:hint="eastAsia" w:asciiTheme="minorEastAsia" w:hAnsiTheme="minorEastAsia" w:cstheme="minorEastAsia"/>
          <w:color w:val="auto"/>
          <w:sz w:val="21"/>
          <w:szCs w:val="21"/>
        </w:rPr>
        <w:t>年</w:t>
      </w:r>
      <w:r>
        <w:rPr>
          <w:rFonts w:hint="eastAsia" w:asciiTheme="minorEastAsia" w:hAnsiTheme="minorEastAsia" w:cstheme="minorEastAsia"/>
          <w:color w:val="auto"/>
          <w:sz w:val="21"/>
          <w:szCs w:val="21"/>
          <w:u w:val="single"/>
          <w:lang w:val="en-US" w:eastAsia="zh-CN"/>
        </w:rPr>
        <w:t xml:space="preserve">   </w:t>
      </w:r>
      <w:r>
        <w:rPr>
          <w:rFonts w:hint="eastAsia" w:asciiTheme="minorEastAsia" w:hAnsiTheme="minorEastAsia" w:cstheme="minorEastAsia"/>
          <w:color w:val="auto"/>
          <w:sz w:val="21"/>
          <w:szCs w:val="21"/>
        </w:rPr>
        <w:t>月</w:t>
      </w:r>
      <w:r>
        <w:rPr>
          <w:rFonts w:hint="eastAsia" w:asciiTheme="minorEastAsia" w:hAnsiTheme="minorEastAsia" w:cstheme="minorEastAsia"/>
          <w:color w:val="auto"/>
          <w:sz w:val="21"/>
          <w:szCs w:val="21"/>
          <w:u w:val="single"/>
          <w:lang w:val="en-US" w:eastAsia="zh-CN"/>
        </w:rPr>
        <w:t xml:space="preserve">    </w:t>
      </w:r>
      <w:r>
        <w:rPr>
          <w:rFonts w:hint="eastAsia" w:asciiTheme="minorEastAsia" w:hAnsiTheme="minorEastAsia" w:cstheme="minorEastAsia"/>
          <w:color w:val="auto"/>
          <w:sz w:val="21"/>
          <w:szCs w:val="21"/>
        </w:rPr>
        <w:t>日</w:t>
      </w:r>
      <w:r>
        <w:rPr>
          <w:rFonts w:hint="eastAsia" w:asciiTheme="minorEastAsia" w:hAnsiTheme="minorEastAsia" w:cstheme="minorEastAsia"/>
          <w:color w:val="auto"/>
          <w:sz w:val="21"/>
          <w:szCs w:val="21"/>
          <w:lang w:eastAsia="zh-CN"/>
        </w:rPr>
        <w:t>，</w:t>
      </w:r>
      <w:r>
        <w:rPr>
          <w:rFonts w:hint="eastAsia" w:asciiTheme="minorEastAsia" w:hAnsiTheme="minorEastAsia" w:cstheme="minorEastAsia"/>
          <w:color w:val="auto"/>
          <w:sz w:val="21"/>
          <w:szCs w:val="21"/>
          <w:lang w:val="en-US" w:eastAsia="zh-CN"/>
        </w:rPr>
        <w:t>合同期10年，具体开始日期自正式运营收费之日起计。本协议合作期限届满前【6】个月，双方可另行协商确定续签事宜。</w:t>
      </w:r>
    </w:p>
    <w:p>
      <w:pPr>
        <w:pStyle w:val="3"/>
        <w:keepNext/>
        <w:keepLines/>
        <w:pageBreakBefore w:val="0"/>
        <w:widowControl w:val="0"/>
        <w:kinsoku/>
        <w:wordWrap/>
        <w:overflowPunct/>
        <w:topLinePunct w:val="0"/>
        <w:autoSpaceDE/>
        <w:autoSpaceDN/>
        <w:bidi w:val="0"/>
        <w:adjustRightInd/>
        <w:snapToGrid/>
        <w:spacing w:before="0" w:beforeLines="0" w:after="0" w:afterLines="0" w:line="500" w:lineRule="exact"/>
        <w:ind w:firstLine="422" w:firstLineChars="200"/>
        <w:textAlignment w:val="auto"/>
        <w:rPr>
          <w:sz w:val="21"/>
          <w:szCs w:val="21"/>
        </w:rPr>
      </w:pPr>
      <w:bookmarkStart w:id="56" w:name="_Toc7790"/>
      <w:bookmarkStart w:id="57" w:name="_Toc21280"/>
      <w:r>
        <w:rPr>
          <w:rFonts w:hint="eastAsia"/>
          <w:sz w:val="21"/>
          <w:szCs w:val="21"/>
        </w:rPr>
        <w:t>五、充电服务收费及运营结算</w:t>
      </w:r>
      <w:bookmarkEnd w:id="56"/>
      <w:bookmarkEnd w:id="57"/>
    </w:p>
    <w:p>
      <w:pPr>
        <w:pStyle w:val="3"/>
        <w:keepNext/>
        <w:keepLines/>
        <w:pageBreakBefore w:val="0"/>
        <w:widowControl w:val="0"/>
        <w:kinsoku/>
        <w:wordWrap/>
        <w:overflowPunct/>
        <w:topLinePunct w:val="0"/>
        <w:autoSpaceDE/>
        <w:autoSpaceDN/>
        <w:bidi w:val="0"/>
        <w:adjustRightInd/>
        <w:snapToGrid/>
        <w:spacing w:before="0" w:beforeLines="0" w:after="0" w:afterLines="0" w:line="500" w:lineRule="exact"/>
        <w:ind w:firstLine="422" w:firstLineChars="200"/>
        <w:textAlignment w:val="auto"/>
        <w:outlineLvl w:val="1"/>
        <w:rPr>
          <w:sz w:val="21"/>
          <w:szCs w:val="21"/>
        </w:rPr>
      </w:pPr>
      <w:bookmarkStart w:id="58" w:name="_Toc21831"/>
      <w:bookmarkStart w:id="59" w:name="_Toc27621"/>
      <w:r>
        <w:rPr>
          <w:rFonts w:hint="eastAsia"/>
          <w:sz w:val="21"/>
          <w:szCs w:val="21"/>
        </w:rPr>
        <w:t>（一）充电服务收费</w:t>
      </w:r>
      <w:bookmarkEnd w:id="58"/>
      <w:bookmarkEnd w:id="59"/>
    </w:p>
    <w:p>
      <w:pPr>
        <w:pageBreakBefore w:val="0"/>
        <w:widowControl w:val="0"/>
        <w:kinsoku/>
        <w:wordWrap/>
        <w:overflowPunct/>
        <w:topLinePunct w:val="0"/>
        <w:autoSpaceDE/>
        <w:autoSpaceDN/>
        <w:bidi w:val="0"/>
        <w:adjustRightInd/>
        <w:snapToGrid/>
        <w:spacing w:line="500" w:lineRule="exact"/>
        <w:ind w:firstLine="420" w:firstLineChars="200"/>
        <w:textAlignment w:val="auto"/>
        <w:rPr>
          <w:rFonts w:asciiTheme="minorEastAsia" w:hAnsiTheme="minorEastAsia" w:cstheme="minorEastAsia"/>
          <w:sz w:val="21"/>
          <w:szCs w:val="21"/>
        </w:rPr>
      </w:pPr>
      <w:r>
        <w:rPr>
          <w:rFonts w:hint="eastAsia" w:asciiTheme="minorEastAsia" w:hAnsiTheme="minorEastAsia" w:cstheme="minorEastAsia"/>
          <w:sz w:val="21"/>
          <w:szCs w:val="21"/>
        </w:rPr>
        <w:t>1.充电桩充电服务收费按照充电电费加充电服务费的方式收取。具体计算公式如下：</w:t>
      </w:r>
    </w:p>
    <w:p>
      <w:pPr>
        <w:pageBreakBefore w:val="0"/>
        <w:widowControl w:val="0"/>
        <w:kinsoku/>
        <w:wordWrap/>
        <w:overflowPunct/>
        <w:topLinePunct w:val="0"/>
        <w:autoSpaceDE/>
        <w:autoSpaceDN/>
        <w:bidi w:val="0"/>
        <w:adjustRightInd/>
        <w:snapToGrid/>
        <w:spacing w:line="500" w:lineRule="exact"/>
        <w:ind w:firstLine="420" w:firstLineChars="200"/>
        <w:textAlignment w:val="auto"/>
        <w:rPr>
          <w:rFonts w:asciiTheme="minorEastAsia" w:hAnsiTheme="minorEastAsia" w:cstheme="minorEastAsia"/>
          <w:sz w:val="21"/>
          <w:szCs w:val="21"/>
        </w:rPr>
      </w:pPr>
      <w:r>
        <w:rPr>
          <w:rFonts w:hint="eastAsia" w:asciiTheme="minorEastAsia" w:hAnsiTheme="minorEastAsia" w:cstheme="minorEastAsia"/>
          <w:sz w:val="21"/>
          <w:szCs w:val="21"/>
        </w:rPr>
        <w:t>充电服务收费=充电电费+充电服务费，其中前述公式中的充电电费及充电服务费计算方式为：</w:t>
      </w:r>
    </w:p>
    <w:p>
      <w:pPr>
        <w:pageBreakBefore w:val="0"/>
        <w:widowControl w:val="0"/>
        <w:kinsoku/>
        <w:wordWrap/>
        <w:overflowPunct/>
        <w:topLinePunct w:val="0"/>
        <w:autoSpaceDE/>
        <w:autoSpaceDN/>
        <w:bidi w:val="0"/>
        <w:adjustRightInd/>
        <w:snapToGrid/>
        <w:spacing w:line="500" w:lineRule="exact"/>
        <w:ind w:firstLine="420" w:firstLineChars="200"/>
        <w:textAlignment w:val="auto"/>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充电电费=电量*电费单价</w:t>
      </w:r>
      <w:r>
        <w:rPr>
          <w:rFonts w:hint="eastAsia" w:asciiTheme="minorEastAsia" w:hAnsiTheme="minorEastAsia" w:cstheme="minorEastAsia"/>
          <w:color w:val="auto"/>
          <w:sz w:val="21"/>
          <w:szCs w:val="21"/>
          <w:highlight w:val="none"/>
          <w:lang w:eastAsia="zh-CN"/>
        </w:rPr>
        <w:t>（</w:t>
      </w:r>
      <w:r>
        <w:rPr>
          <w:rFonts w:hint="eastAsia" w:asciiTheme="minorEastAsia" w:hAnsiTheme="minorEastAsia" w:cstheme="minorEastAsia"/>
          <w:color w:val="auto"/>
          <w:sz w:val="21"/>
          <w:szCs w:val="21"/>
          <w:highlight w:val="none"/>
          <w:lang w:val="en-US" w:eastAsia="zh-CN"/>
        </w:rPr>
        <w:t>以项目实际电价为准</w:t>
      </w:r>
      <w:r>
        <w:rPr>
          <w:rFonts w:hint="eastAsia" w:asciiTheme="minorEastAsia" w:hAnsiTheme="minorEastAsia" w:cstheme="minorEastAsia"/>
          <w:color w:val="auto"/>
          <w:sz w:val="21"/>
          <w:szCs w:val="21"/>
          <w:highlight w:val="none"/>
          <w:lang w:eastAsia="zh-CN"/>
        </w:rPr>
        <w:t>）</w:t>
      </w:r>
    </w:p>
    <w:p>
      <w:pPr>
        <w:pageBreakBefore w:val="0"/>
        <w:widowControl w:val="0"/>
        <w:kinsoku/>
        <w:wordWrap/>
        <w:overflowPunct/>
        <w:topLinePunct w:val="0"/>
        <w:autoSpaceDE/>
        <w:autoSpaceDN/>
        <w:bidi w:val="0"/>
        <w:adjustRightInd/>
        <w:snapToGrid/>
        <w:spacing w:line="500" w:lineRule="exact"/>
        <w:ind w:firstLine="420" w:firstLineChars="200"/>
        <w:textAlignment w:val="auto"/>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充电服务费=电量*充电服务费单价（</w:t>
      </w:r>
      <w:r>
        <w:rPr>
          <w:rFonts w:hint="eastAsia" w:asciiTheme="minorEastAsia" w:hAnsiTheme="minorEastAsia" w:cstheme="minorEastAsia"/>
          <w:color w:val="auto"/>
          <w:sz w:val="21"/>
          <w:szCs w:val="21"/>
          <w:highlight w:val="none"/>
          <w:u w:val="single"/>
          <w:lang w:eastAsia="zh-CN"/>
        </w:rPr>
        <w:t xml:space="preserve"> </w:t>
      </w:r>
      <w:r>
        <w:rPr>
          <w:rFonts w:hint="eastAsia" w:asciiTheme="minorEastAsia" w:hAnsiTheme="minorEastAsia" w:cstheme="minorEastAsia"/>
          <w:color w:val="auto"/>
          <w:sz w:val="21"/>
          <w:szCs w:val="21"/>
          <w:highlight w:val="none"/>
          <w:u w:val="single"/>
          <w:lang w:val="en-US" w:eastAsia="zh-CN"/>
        </w:rPr>
        <w:t xml:space="preserve">   </w:t>
      </w:r>
      <w:r>
        <w:rPr>
          <w:rFonts w:hint="eastAsia" w:asciiTheme="minorEastAsia" w:hAnsiTheme="minorEastAsia" w:cstheme="minorEastAsia"/>
          <w:color w:val="auto"/>
          <w:sz w:val="21"/>
          <w:szCs w:val="21"/>
          <w:highlight w:val="none"/>
        </w:rPr>
        <w:t>元/度）</w:t>
      </w:r>
    </w:p>
    <w:p>
      <w:pPr>
        <w:pageBreakBefore w:val="0"/>
        <w:widowControl w:val="0"/>
        <w:kinsoku/>
        <w:wordWrap/>
        <w:overflowPunct/>
        <w:topLinePunct w:val="0"/>
        <w:autoSpaceDE/>
        <w:autoSpaceDN/>
        <w:bidi w:val="0"/>
        <w:adjustRightInd/>
        <w:snapToGrid/>
        <w:spacing w:line="500" w:lineRule="exact"/>
        <w:ind w:firstLine="420" w:firstLineChars="200"/>
        <w:textAlignment w:val="auto"/>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充电电费单价按照</w:t>
      </w:r>
      <w:r>
        <w:rPr>
          <w:rFonts w:hint="eastAsia" w:asciiTheme="minorEastAsia" w:hAnsiTheme="minorEastAsia" w:cstheme="minorEastAsia"/>
          <w:color w:val="auto"/>
          <w:sz w:val="21"/>
          <w:szCs w:val="21"/>
          <w:highlight w:val="none"/>
          <w:lang w:val="en-US" w:eastAsia="zh-CN"/>
        </w:rPr>
        <w:t>项目</w:t>
      </w:r>
      <w:r>
        <w:rPr>
          <w:rFonts w:hint="eastAsia" w:asciiTheme="minorEastAsia" w:hAnsiTheme="minorEastAsia" w:cstheme="minorEastAsia"/>
          <w:color w:val="auto"/>
          <w:sz w:val="21"/>
          <w:szCs w:val="21"/>
          <w:highlight w:val="none"/>
        </w:rPr>
        <w:t>用电标准进行结算</w:t>
      </w:r>
      <w:r>
        <w:rPr>
          <w:rFonts w:hint="eastAsia" w:asciiTheme="minorEastAsia" w:hAnsiTheme="minorEastAsia" w:cstheme="minorEastAsia"/>
          <w:color w:val="auto"/>
          <w:sz w:val="21"/>
          <w:szCs w:val="21"/>
          <w:highlight w:val="none"/>
          <w:lang w:eastAsia="zh-CN"/>
        </w:rPr>
        <w:t>，如供电公司的电费标准调整，甲方有权相应调整</w:t>
      </w:r>
      <w:r>
        <w:rPr>
          <w:rFonts w:hint="eastAsia" w:asciiTheme="minorEastAsia" w:hAnsiTheme="minorEastAsia" w:cstheme="minorEastAsia"/>
          <w:color w:val="auto"/>
          <w:sz w:val="21"/>
          <w:szCs w:val="21"/>
          <w:highlight w:val="none"/>
        </w:rPr>
        <w:t>；充电服务费单价收费标准参照深圳市发改委规定的电动汽车充电服务由双方协商定价。</w:t>
      </w:r>
    </w:p>
    <w:p>
      <w:pPr>
        <w:pageBreakBefore w:val="0"/>
        <w:widowControl w:val="0"/>
        <w:kinsoku/>
        <w:wordWrap/>
        <w:overflowPunct/>
        <w:topLinePunct w:val="0"/>
        <w:autoSpaceDE/>
        <w:autoSpaceDN/>
        <w:bidi w:val="0"/>
        <w:adjustRightInd/>
        <w:snapToGrid/>
        <w:spacing w:line="500" w:lineRule="exact"/>
        <w:ind w:firstLine="420" w:firstLineChars="200"/>
        <w:textAlignment w:val="auto"/>
        <w:rPr>
          <w:rFonts w:asciiTheme="minorEastAsia" w:hAnsiTheme="minorEastAsia" w:cstheme="minorEastAsia"/>
          <w:sz w:val="21"/>
          <w:szCs w:val="21"/>
        </w:rPr>
      </w:pPr>
      <w:r>
        <w:rPr>
          <w:rFonts w:hint="eastAsia" w:asciiTheme="minorEastAsia" w:hAnsiTheme="minorEastAsia" w:cstheme="minorEastAsia"/>
          <w:sz w:val="21"/>
          <w:szCs w:val="21"/>
        </w:rPr>
        <w:t>2.电量：乙方按照国家或深圳市相关标准安装计量电表或采用双方认可的方式计量充电电量，甲方有权委托第三方对电量计量情况进行抽检，</w:t>
      </w:r>
      <w:r>
        <w:rPr>
          <w:rFonts w:hint="eastAsia" w:asciiTheme="minorEastAsia" w:hAnsiTheme="minorEastAsia" w:cstheme="minorEastAsia"/>
          <w:sz w:val="21"/>
          <w:szCs w:val="21"/>
          <w:lang w:val="en-US" w:eastAsia="zh-CN"/>
        </w:rPr>
        <w:t>费用由甲方、乙方共同平均承担，</w:t>
      </w:r>
      <w:r>
        <w:rPr>
          <w:rFonts w:hint="eastAsia" w:asciiTheme="minorEastAsia" w:hAnsiTheme="minorEastAsia" w:cstheme="minorEastAsia"/>
          <w:sz w:val="21"/>
          <w:szCs w:val="21"/>
        </w:rPr>
        <w:t>乙方应全力配合。</w:t>
      </w:r>
    </w:p>
    <w:p>
      <w:pPr>
        <w:pStyle w:val="3"/>
        <w:keepNext/>
        <w:keepLines/>
        <w:pageBreakBefore w:val="0"/>
        <w:widowControl w:val="0"/>
        <w:kinsoku/>
        <w:wordWrap/>
        <w:overflowPunct/>
        <w:topLinePunct w:val="0"/>
        <w:autoSpaceDE/>
        <w:autoSpaceDN/>
        <w:bidi w:val="0"/>
        <w:adjustRightInd/>
        <w:snapToGrid/>
        <w:spacing w:before="0" w:beforeLines="0" w:after="0" w:afterLines="0" w:line="500" w:lineRule="exact"/>
        <w:ind w:firstLine="422" w:firstLineChars="200"/>
        <w:textAlignment w:val="auto"/>
        <w:outlineLvl w:val="1"/>
        <w:rPr>
          <w:rFonts w:hint="eastAsia"/>
          <w:sz w:val="21"/>
          <w:szCs w:val="21"/>
        </w:rPr>
      </w:pPr>
      <w:bookmarkStart w:id="60" w:name="_Toc20524"/>
      <w:bookmarkStart w:id="61" w:name="_Toc1035"/>
      <w:r>
        <w:rPr>
          <w:rFonts w:hint="eastAsia"/>
          <w:sz w:val="21"/>
          <w:szCs w:val="21"/>
        </w:rPr>
        <w:t>（二）运营结算</w:t>
      </w:r>
      <w:bookmarkEnd w:id="60"/>
      <w:bookmarkEnd w:id="61"/>
      <w:r>
        <w:rPr>
          <w:rFonts w:hint="eastAsia"/>
          <w:sz w:val="21"/>
          <w:szCs w:val="21"/>
        </w:rPr>
        <w:t xml:space="preserve"> </w:t>
      </w:r>
    </w:p>
    <w:p>
      <w:pPr>
        <w:pageBreakBefore w:val="0"/>
        <w:widowControl w:val="0"/>
        <w:kinsoku/>
        <w:wordWrap/>
        <w:overflowPunct/>
        <w:topLinePunct w:val="0"/>
        <w:autoSpaceDE/>
        <w:autoSpaceDN/>
        <w:bidi w:val="0"/>
        <w:adjustRightInd/>
        <w:snapToGrid/>
        <w:spacing w:line="500" w:lineRule="exact"/>
        <w:ind w:firstLine="420" w:firstLineChars="200"/>
        <w:textAlignment w:val="auto"/>
        <w:rPr>
          <w:rFonts w:asciiTheme="minorEastAsia" w:hAnsiTheme="minorEastAsia" w:cstheme="minorEastAsia"/>
          <w:b w:val="0"/>
          <w:bCs w:val="0"/>
          <w:color w:val="auto"/>
          <w:sz w:val="21"/>
          <w:szCs w:val="21"/>
        </w:rPr>
      </w:pPr>
      <w:r>
        <w:rPr>
          <w:rFonts w:hint="eastAsia" w:asciiTheme="minorEastAsia" w:hAnsiTheme="minorEastAsia" w:cstheme="minorEastAsia"/>
          <w:sz w:val="21"/>
          <w:szCs w:val="21"/>
        </w:rPr>
        <w:t>1.乙方作为合作场站内充电桩的运营结算主体，使用乙方自有的后台监控平台代收费，对进入该场站充电的社会电动车辆充电后进行实时扣费。乙方有义务保证后台监控平台数据真实</w:t>
      </w:r>
      <w:r>
        <w:rPr>
          <w:rFonts w:hint="eastAsia" w:asciiTheme="minorEastAsia" w:hAnsiTheme="minorEastAsia" w:cstheme="minorEastAsia"/>
          <w:sz w:val="21"/>
          <w:szCs w:val="21"/>
          <w:lang w:eastAsia="zh-CN"/>
        </w:rPr>
        <w:t>、</w:t>
      </w:r>
      <w:r>
        <w:rPr>
          <w:rFonts w:hint="eastAsia" w:asciiTheme="minorEastAsia" w:hAnsiTheme="minorEastAsia" w:cstheme="minorEastAsia"/>
          <w:sz w:val="21"/>
          <w:szCs w:val="21"/>
          <w:lang w:val="en-US" w:eastAsia="zh-CN"/>
        </w:rPr>
        <w:t>完整</w:t>
      </w:r>
      <w:r>
        <w:rPr>
          <w:rFonts w:hint="eastAsia" w:asciiTheme="minorEastAsia" w:hAnsiTheme="minorEastAsia" w:cstheme="minorEastAsia"/>
          <w:sz w:val="21"/>
          <w:szCs w:val="21"/>
        </w:rPr>
        <w:t>，甲方有权对乙方后台数据、该等充电桩的运营结算委托第</w:t>
      </w:r>
      <w:r>
        <w:rPr>
          <w:rFonts w:hint="eastAsia" w:asciiTheme="minorEastAsia" w:hAnsiTheme="minorEastAsia" w:cstheme="minorEastAsia"/>
          <w:b w:val="0"/>
          <w:bCs w:val="0"/>
          <w:sz w:val="21"/>
          <w:szCs w:val="21"/>
        </w:rPr>
        <w:t>三方进行审</w:t>
      </w:r>
      <w:r>
        <w:rPr>
          <w:rFonts w:hint="eastAsia" w:asciiTheme="minorEastAsia" w:hAnsiTheme="minorEastAsia" w:cstheme="minorEastAsia"/>
          <w:b w:val="0"/>
          <w:bCs w:val="0"/>
          <w:color w:val="auto"/>
          <w:sz w:val="21"/>
          <w:szCs w:val="21"/>
        </w:rPr>
        <w:t>计，乙方配合向甲方提供后台查询端口</w:t>
      </w:r>
      <w:r>
        <w:rPr>
          <w:rFonts w:hint="eastAsia" w:asciiTheme="minorEastAsia" w:hAnsiTheme="minorEastAsia" w:cstheme="minorEastAsia"/>
          <w:b w:val="0"/>
          <w:bCs w:val="0"/>
          <w:color w:val="auto"/>
          <w:sz w:val="21"/>
          <w:szCs w:val="21"/>
          <w:lang w:eastAsia="zh-CN"/>
        </w:rPr>
        <w:t>，</w:t>
      </w:r>
      <w:r>
        <w:rPr>
          <w:rFonts w:hint="eastAsia" w:asciiTheme="minorEastAsia" w:hAnsiTheme="minorEastAsia" w:cstheme="minorEastAsia"/>
          <w:b w:val="0"/>
          <w:bCs w:val="0"/>
          <w:color w:val="auto"/>
          <w:sz w:val="21"/>
          <w:szCs w:val="21"/>
          <w:lang w:val="en-US" w:eastAsia="zh-CN"/>
        </w:rPr>
        <w:t>即</w:t>
      </w:r>
      <w:r>
        <w:rPr>
          <w:rFonts w:hint="eastAsia" w:asciiTheme="minorEastAsia" w:hAnsiTheme="minorEastAsia" w:cstheme="minorEastAsia"/>
          <w:b w:val="0"/>
          <w:bCs w:val="0"/>
          <w:color w:val="auto"/>
          <w:sz w:val="21"/>
          <w:szCs w:val="21"/>
          <w:lang w:eastAsia="zh-CN"/>
        </w:rPr>
        <w:t>自</w:t>
      </w:r>
      <w:r>
        <w:rPr>
          <w:rFonts w:hint="eastAsia" w:asciiTheme="minorEastAsia" w:hAnsiTheme="minorEastAsia" w:cstheme="minorEastAsia"/>
          <w:color w:val="auto"/>
          <w:sz w:val="21"/>
          <w:szCs w:val="21"/>
          <w:lang w:val="en-US" w:eastAsia="zh-CN"/>
        </w:rPr>
        <w:t>正式运营收费</w:t>
      </w:r>
      <w:r>
        <w:rPr>
          <w:rFonts w:hint="eastAsia" w:asciiTheme="minorEastAsia" w:hAnsiTheme="minorEastAsia" w:cstheme="minorEastAsia"/>
          <w:b w:val="0"/>
          <w:bCs w:val="0"/>
          <w:color w:val="auto"/>
          <w:sz w:val="21"/>
          <w:szCs w:val="21"/>
          <w:lang w:eastAsia="zh-CN"/>
        </w:rPr>
        <w:t>之日起，</w:t>
      </w:r>
      <w:r>
        <w:rPr>
          <w:rFonts w:hint="eastAsia" w:asciiTheme="minorEastAsia" w:hAnsiTheme="minorEastAsia" w:cstheme="minorEastAsia"/>
          <w:b w:val="0"/>
          <w:bCs w:val="0"/>
          <w:color w:val="auto"/>
          <w:sz w:val="21"/>
          <w:szCs w:val="21"/>
          <w:lang w:val="en-US" w:eastAsia="zh-CN"/>
        </w:rPr>
        <w:t>乙方向甲方配合提供</w:t>
      </w:r>
      <w:r>
        <w:rPr>
          <w:rFonts w:hint="eastAsia" w:asciiTheme="minorEastAsia" w:hAnsiTheme="minorEastAsia" w:cstheme="minorEastAsia"/>
          <w:b w:val="0"/>
          <w:bCs w:val="0"/>
          <w:color w:val="auto"/>
          <w:sz w:val="21"/>
          <w:szCs w:val="21"/>
        </w:rPr>
        <w:t>后台查询端口</w:t>
      </w:r>
      <w:r>
        <w:rPr>
          <w:rFonts w:hint="eastAsia" w:asciiTheme="minorEastAsia" w:hAnsiTheme="minorEastAsia" w:cstheme="minorEastAsia"/>
          <w:b w:val="0"/>
          <w:bCs w:val="0"/>
          <w:color w:val="auto"/>
          <w:sz w:val="21"/>
          <w:szCs w:val="21"/>
          <w:lang w:val="en-US" w:eastAsia="zh-CN"/>
        </w:rPr>
        <w:t>账户供甲方查询使用，并根据甲方要求提供相应账单或财务记录</w:t>
      </w:r>
      <w:r>
        <w:rPr>
          <w:rFonts w:hint="eastAsia" w:asciiTheme="minorEastAsia" w:hAnsiTheme="minorEastAsia" w:cstheme="minorEastAsia"/>
          <w:b w:val="0"/>
          <w:bCs w:val="0"/>
          <w:color w:val="auto"/>
          <w:sz w:val="21"/>
          <w:szCs w:val="21"/>
        </w:rPr>
        <w:t>。</w:t>
      </w:r>
    </w:p>
    <w:p>
      <w:pPr>
        <w:pageBreakBefore w:val="0"/>
        <w:widowControl w:val="0"/>
        <w:kinsoku/>
        <w:wordWrap/>
        <w:overflowPunct/>
        <w:topLinePunct w:val="0"/>
        <w:autoSpaceDE/>
        <w:autoSpaceDN/>
        <w:bidi w:val="0"/>
        <w:adjustRightInd/>
        <w:snapToGrid/>
        <w:spacing w:line="500" w:lineRule="exact"/>
        <w:ind w:firstLine="420" w:firstLineChars="200"/>
        <w:textAlignment w:val="auto"/>
        <w:rPr>
          <w:rFonts w:asciiTheme="minorEastAsia" w:hAnsiTheme="minorEastAsia" w:cstheme="minorEastAsia"/>
          <w:color w:val="000000" w:themeColor="text1"/>
          <w:sz w:val="21"/>
          <w:szCs w:val="21"/>
          <w14:textFill>
            <w14:solidFill>
              <w14:schemeClr w14:val="tx1"/>
            </w14:solidFill>
          </w14:textFill>
        </w:rPr>
      </w:pPr>
      <w:r>
        <w:rPr>
          <w:rFonts w:asciiTheme="minorEastAsia" w:hAnsiTheme="minorEastAsia" w:cstheme="minorEastAsia"/>
          <w:color w:val="000000" w:themeColor="text1"/>
          <w:sz w:val="21"/>
          <w:szCs w:val="21"/>
          <w14:textFill>
            <w14:solidFill>
              <w14:schemeClr w14:val="tx1"/>
            </w14:solidFill>
          </w14:textFill>
        </w:rPr>
        <w:t>2.</w:t>
      </w:r>
      <w:r>
        <w:rPr>
          <w:rFonts w:hint="eastAsia" w:asciiTheme="minorEastAsia" w:hAnsiTheme="minorEastAsia" w:cstheme="minorEastAsia"/>
          <w:color w:val="000000" w:themeColor="text1"/>
          <w:sz w:val="21"/>
          <w:szCs w:val="21"/>
          <w14:textFill>
            <w14:solidFill>
              <w14:schemeClr w14:val="tx1"/>
            </w14:solidFill>
          </w14:textFill>
        </w:rPr>
        <w:t>发票：由乙方开具客户充电金额发票给客户。</w:t>
      </w:r>
    </w:p>
    <w:p>
      <w:pPr>
        <w:pStyle w:val="3"/>
        <w:keepNext/>
        <w:keepLines/>
        <w:pageBreakBefore w:val="0"/>
        <w:widowControl w:val="0"/>
        <w:kinsoku/>
        <w:wordWrap/>
        <w:overflowPunct/>
        <w:topLinePunct w:val="0"/>
        <w:autoSpaceDE/>
        <w:autoSpaceDN/>
        <w:bidi w:val="0"/>
        <w:adjustRightInd/>
        <w:snapToGrid/>
        <w:spacing w:before="0" w:beforeLines="0" w:after="0" w:afterLines="0" w:line="500" w:lineRule="exact"/>
        <w:ind w:firstLine="422" w:firstLineChars="200"/>
        <w:textAlignment w:val="auto"/>
        <w:rPr>
          <w:rFonts w:hint="default" w:eastAsiaTheme="minorEastAsia"/>
          <w:sz w:val="21"/>
          <w:szCs w:val="21"/>
          <w:lang w:val="en-US" w:eastAsia="zh-CN"/>
        </w:rPr>
      </w:pPr>
      <w:bookmarkStart w:id="62" w:name="_Toc11048"/>
      <w:bookmarkStart w:id="63" w:name="_Toc4574"/>
      <w:r>
        <w:rPr>
          <w:rFonts w:hint="eastAsia"/>
          <w:sz w:val="21"/>
          <w:szCs w:val="21"/>
        </w:rPr>
        <w:t>六、</w:t>
      </w:r>
      <w:bookmarkEnd w:id="62"/>
      <w:r>
        <w:rPr>
          <w:rFonts w:hint="eastAsia"/>
          <w:sz w:val="21"/>
          <w:szCs w:val="21"/>
          <w:lang w:val="en-US" w:eastAsia="zh-CN"/>
        </w:rPr>
        <w:t>费用结算</w:t>
      </w:r>
      <w:bookmarkEnd w:id="63"/>
    </w:p>
    <w:p>
      <w:pPr>
        <w:pStyle w:val="3"/>
        <w:keepNext/>
        <w:keepLines/>
        <w:pageBreakBefore w:val="0"/>
        <w:widowControl w:val="0"/>
        <w:kinsoku/>
        <w:wordWrap/>
        <w:overflowPunct/>
        <w:topLinePunct w:val="0"/>
        <w:autoSpaceDE/>
        <w:autoSpaceDN/>
        <w:bidi w:val="0"/>
        <w:adjustRightInd/>
        <w:snapToGrid/>
        <w:spacing w:before="0" w:beforeLines="0" w:after="0" w:afterLines="0" w:line="500" w:lineRule="exact"/>
        <w:ind w:firstLine="422" w:firstLineChars="200"/>
        <w:textAlignment w:val="auto"/>
        <w:outlineLvl w:val="1"/>
        <w:rPr>
          <w:rFonts w:hint="eastAsia"/>
          <w:sz w:val="21"/>
          <w:szCs w:val="21"/>
        </w:rPr>
      </w:pPr>
      <w:bookmarkStart w:id="64" w:name="_Toc21081"/>
      <w:bookmarkStart w:id="65" w:name="_Toc21393"/>
      <w:r>
        <w:rPr>
          <w:rFonts w:hint="eastAsia"/>
          <w:sz w:val="21"/>
          <w:szCs w:val="21"/>
        </w:rPr>
        <w:t>（一）</w:t>
      </w:r>
      <w:r>
        <w:rPr>
          <w:rFonts w:hint="eastAsia"/>
          <w:sz w:val="21"/>
          <w:szCs w:val="21"/>
          <w:lang w:val="en-US" w:eastAsia="zh-CN"/>
        </w:rPr>
        <w:t>充电服务费</w:t>
      </w:r>
      <w:r>
        <w:rPr>
          <w:rFonts w:hint="eastAsia"/>
          <w:sz w:val="21"/>
          <w:szCs w:val="21"/>
        </w:rPr>
        <w:t>分成比例约定</w:t>
      </w:r>
      <w:bookmarkEnd w:id="64"/>
      <w:bookmarkEnd w:id="65"/>
    </w:p>
    <w:p>
      <w:pPr>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cstheme="minorEastAsia"/>
          <w:sz w:val="21"/>
          <w:szCs w:val="21"/>
        </w:rPr>
      </w:pPr>
      <w:r>
        <w:rPr>
          <w:rFonts w:hint="eastAsia" w:asciiTheme="minorEastAsia" w:hAnsiTheme="minorEastAsia" w:cstheme="minorEastAsia"/>
          <w:sz w:val="21"/>
          <w:szCs w:val="21"/>
        </w:rPr>
        <w:t>经双方友好协商，合作场地内充电桩充电服务费由甲乙双方按照本条款约定比例予以分成，具体分成比例如下:</w:t>
      </w:r>
    </w:p>
    <w:tbl>
      <w:tblPr>
        <w:tblStyle w:val="15"/>
        <w:tblW w:w="70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8"/>
        <w:gridCol w:w="2407"/>
        <w:gridCol w:w="1475"/>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78" w:type="dxa"/>
            <w:shd w:val="clear" w:color="auto" w:fill="auto"/>
            <w:vAlign w:val="center"/>
          </w:tcPr>
          <w:p>
            <w:pPr>
              <w:adjustRightInd w:val="0"/>
              <w:snapToGrid w:val="0"/>
              <w:jc w:val="center"/>
              <w:rPr>
                <w:rFonts w:asciiTheme="minorEastAsia" w:hAnsiTheme="minorEastAsia" w:cstheme="minorEastAsia"/>
                <w:szCs w:val="21"/>
              </w:rPr>
            </w:pPr>
            <w:r>
              <w:rPr>
                <w:rFonts w:hint="eastAsia" w:asciiTheme="minorEastAsia" w:hAnsiTheme="minorEastAsia" w:cstheme="minorEastAsia"/>
                <w:szCs w:val="21"/>
              </w:rPr>
              <w:t>序号</w:t>
            </w:r>
          </w:p>
        </w:tc>
        <w:tc>
          <w:tcPr>
            <w:tcW w:w="2407" w:type="dxa"/>
            <w:shd w:val="clear" w:color="auto" w:fill="auto"/>
            <w:vAlign w:val="center"/>
          </w:tcPr>
          <w:p>
            <w:pPr>
              <w:adjustRightInd w:val="0"/>
              <w:snapToGrid w:val="0"/>
              <w:jc w:val="center"/>
              <w:rPr>
                <w:rFonts w:asciiTheme="minorEastAsia" w:hAnsiTheme="minorEastAsia" w:cstheme="minorEastAsia"/>
                <w:szCs w:val="21"/>
              </w:rPr>
            </w:pPr>
            <w:r>
              <w:rPr>
                <w:rFonts w:hint="eastAsia" w:asciiTheme="minorEastAsia" w:hAnsiTheme="minorEastAsia" w:cstheme="minorEastAsia"/>
                <w:szCs w:val="21"/>
              </w:rPr>
              <w:t>合作时期</w:t>
            </w:r>
          </w:p>
        </w:tc>
        <w:tc>
          <w:tcPr>
            <w:tcW w:w="1475" w:type="dxa"/>
            <w:shd w:val="clear" w:color="auto" w:fill="auto"/>
            <w:vAlign w:val="center"/>
          </w:tcPr>
          <w:p>
            <w:pPr>
              <w:adjustRightInd w:val="0"/>
              <w:snapToGrid w:val="0"/>
              <w:jc w:val="center"/>
              <w:rPr>
                <w:rFonts w:asciiTheme="minorEastAsia" w:hAnsiTheme="minorEastAsia" w:cstheme="minorEastAsia"/>
                <w:szCs w:val="21"/>
              </w:rPr>
            </w:pPr>
            <w:r>
              <w:rPr>
                <w:rFonts w:hint="eastAsia" w:asciiTheme="minorEastAsia" w:hAnsiTheme="minorEastAsia" w:cstheme="minorEastAsia"/>
                <w:szCs w:val="21"/>
              </w:rPr>
              <w:t>权益方</w:t>
            </w:r>
          </w:p>
        </w:tc>
        <w:tc>
          <w:tcPr>
            <w:tcW w:w="2127" w:type="dxa"/>
            <w:shd w:val="clear" w:color="auto" w:fill="auto"/>
            <w:vAlign w:val="center"/>
          </w:tcPr>
          <w:p>
            <w:pPr>
              <w:adjustRightInd w:val="0"/>
              <w:snapToGrid w:val="0"/>
              <w:jc w:val="center"/>
              <w:rPr>
                <w:rFonts w:asciiTheme="minorEastAsia" w:hAnsiTheme="minorEastAsia" w:cstheme="minorEastAsia"/>
                <w:szCs w:val="21"/>
              </w:rPr>
            </w:pPr>
            <w:r>
              <w:rPr>
                <w:rFonts w:hint="eastAsia" w:asciiTheme="minorEastAsia" w:hAnsiTheme="minorEastAsia" w:cstheme="minorEastAsia"/>
                <w:szCs w:val="21"/>
              </w:rPr>
              <w:t>服务费分成比例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1078" w:type="dxa"/>
            <w:vMerge w:val="restart"/>
            <w:shd w:val="clear" w:color="auto" w:fill="auto"/>
            <w:vAlign w:val="center"/>
          </w:tcPr>
          <w:p>
            <w:pPr>
              <w:adjustRightInd w:val="0"/>
              <w:snapToGrid w:val="0"/>
              <w:jc w:val="center"/>
              <w:rPr>
                <w:rFonts w:asciiTheme="minorEastAsia" w:hAnsiTheme="minorEastAsia" w:cstheme="minorEastAsia"/>
                <w:szCs w:val="21"/>
              </w:rPr>
            </w:pPr>
            <w:r>
              <w:rPr>
                <w:rFonts w:hint="eastAsia" w:asciiTheme="minorEastAsia" w:hAnsiTheme="minorEastAsia" w:cstheme="minorEastAsia"/>
                <w:szCs w:val="21"/>
              </w:rPr>
              <w:t>1</w:t>
            </w:r>
          </w:p>
        </w:tc>
        <w:tc>
          <w:tcPr>
            <w:tcW w:w="2407" w:type="dxa"/>
            <w:vMerge w:val="restart"/>
            <w:shd w:val="clear" w:color="auto" w:fill="auto"/>
            <w:vAlign w:val="center"/>
          </w:tcPr>
          <w:p>
            <w:pPr>
              <w:adjustRightInd w:val="0"/>
              <w:snapToGrid w:val="0"/>
              <w:jc w:val="center"/>
              <w:rPr>
                <w:rFonts w:hint="eastAsia" w:asciiTheme="minorEastAsia" w:hAnsiTheme="minorEastAsia" w:eastAsiaTheme="minorEastAsia" w:cstheme="minorEastAsia"/>
                <w:szCs w:val="21"/>
                <w:lang w:val="en-US" w:eastAsia="zh-CN"/>
              </w:rPr>
            </w:pPr>
            <w:r>
              <w:rPr>
                <w:rFonts w:hint="eastAsia" w:asciiTheme="minorEastAsia" w:hAnsiTheme="minorEastAsia" w:cstheme="minorEastAsia"/>
                <w:szCs w:val="21"/>
                <w:lang w:val="en-US" w:eastAsia="zh-CN"/>
              </w:rPr>
              <w:t>合作期内</w:t>
            </w:r>
          </w:p>
        </w:tc>
        <w:tc>
          <w:tcPr>
            <w:tcW w:w="1475" w:type="dxa"/>
            <w:shd w:val="clear" w:color="auto" w:fill="auto"/>
            <w:vAlign w:val="center"/>
          </w:tcPr>
          <w:p>
            <w:pPr>
              <w:adjustRightInd w:val="0"/>
              <w:snapToGrid w:val="0"/>
              <w:jc w:val="center"/>
              <w:rPr>
                <w:rFonts w:asciiTheme="minorEastAsia" w:hAnsiTheme="minorEastAsia" w:cstheme="minorEastAsia"/>
                <w:szCs w:val="21"/>
              </w:rPr>
            </w:pPr>
            <w:r>
              <w:rPr>
                <w:rFonts w:hint="eastAsia" w:asciiTheme="minorEastAsia" w:hAnsiTheme="minorEastAsia" w:cstheme="minorEastAsia"/>
                <w:szCs w:val="21"/>
              </w:rPr>
              <w:t>甲方</w:t>
            </w:r>
          </w:p>
        </w:tc>
        <w:tc>
          <w:tcPr>
            <w:tcW w:w="2127" w:type="dxa"/>
            <w:shd w:val="clear" w:color="auto" w:fill="auto"/>
            <w:vAlign w:val="center"/>
          </w:tcPr>
          <w:p>
            <w:pPr>
              <w:adjustRightInd w:val="0"/>
              <w:snapToGrid w:val="0"/>
              <w:jc w:val="center"/>
              <w:rPr>
                <w:rFonts w:hint="eastAsia" w:asciiTheme="minorEastAsia" w:hAnsiTheme="minorEastAsia" w:eastAsiaTheme="minorEastAsia" w:cstheme="minorEastAsia"/>
                <w:szCs w:val="21"/>
                <w:lang w:eastAsia="zh-CN"/>
              </w:rPr>
            </w:pPr>
            <w:r>
              <w:rPr>
                <w:rFonts w:hint="eastAsia" w:asciiTheme="minorEastAsia" w:hAnsiTheme="minorEastAsia" w:cstheme="minorEastAsia"/>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078" w:type="dxa"/>
            <w:vMerge w:val="continue"/>
            <w:shd w:val="clear" w:color="auto" w:fill="auto"/>
            <w:vAlign w:val="center"/>
          </w:tcPr>
          <w:p>
            <w:pPr>
              <w:adjustRightInd w:val="0"/>
              <w:snapToGrid w:val="0"/>
              <w:jc w:val="center"/>
              <w:rPr>
                <w:rFonts w:asciiTheme="minorEastAsia" w:hAnsiTheme="minorEastAsia" w:cstheme="minorEastAsia"/>
                <w:szCs w:val="21"/>
              </w:rPr>
            </w:pPr>
          </w:p>
        </w:tc>
        <w:tc>
          <w:tcPr>
            <w:tcW w:w="2407" w:type="dxa"/>
            <w:vMerge w:val="continue"/>
            <w:shd w:val="clear" w:color="auto" w:fill="auto"/>
            <w:vAlign w:val="center"/>
          </w:tcPr>
          <w:p>
            <w:pPr>
              <w:adjustRightInd w:val="0"/>
              <w:snapToGrid w:val="0"/>
              <w:jc w:val="center"/>
              <w:rPr>
                <w:rFonts w:asciiTheme="minorEastAsia" w:hAnsiTheme="minorEastAsia" w:cstheme="minorEastAsia"/>
                <w:szCs w:val="21"/>
              </w:rPr>
            </w:pPr>
          </w:p>
        </w:tc>
        <w:tc>
          <w:tcPr>
            <w:tcW w:w="1475" w:type="dxa"/>
            <w:shd w:val="clear" w:color="auto" w:fill="auto"/>
            <w:vAlign w:val="center"/>
          </w:tcPr>
          <w:p>
            <w:pPr>
              <w:adjustRightInd w:val="0"/>
              <w:snapToGrid w:val="0"/>
              <w:jc w:val="center"/>
              <w:rPr>
                <w:rFonts w:asciiTheme="minorEastAsia" w:hAnsiTheme="minorEastAsia" w:cstheme="minorEastAsia"/>
                <w:szCs w:val="21"/>
              </w:rPr>
            </w:pPr>
            <w:r>
              <w:rPr>
                <w:rFonts w:hint="eastAsia" w:asciiTheme="minorEastAsia" w:hAnsiTheme="minorEastAsia" w:cstheme="minorEastAsia"/>
                <w:szCs w:val="21"/>
              </w:rPr>
              <w:t>乙方</w:t>
            </w:r>
          </w:p>
        </w:tc>
        <w:tc>
          <w:tcPr>
            <w:tcW w:w="2127" w:type="dxa"/>
            <w:shd w:val="clear" w:color="auto" w:fill="auto"/>
            <w:vAlign w:val="center"/>
          </w:tcPr>
          <w:p>
            <w:pPr>
              <w:adjustRightInd w:val="0"/>
              <w:snapToGrid w:val="0"/>
              <w:jc w:val="center"/>
              <w:rPr>
                <w:rFonts w:hint="eastAsia" w:asciiTheme="minorEastAsia" w:hAnsiTheme="minorEastAsia" w:eastAsiaTheme="minorEastAsia" w:cstheme="minorEastAsia"/>
                <w:szCs w:val="21"/>
                <w:lang w:eastAsia="zh-CN"/>
              </w:rPr>
            </w:pPr>
            <w:r>
              <w:rPr>
                <w:rFonts w:hint="eastAsia" w:asciiTheme="minorEastAsia" w:hAnsiTheme="minorEastAsia" w:cstheme="minorEastAsia"/>
                <w:szCs w:val="21"/>
                <w:lang w:val="en-US" w:eastAsia="zh-CN"/>
              </w:rPr>
              <w:t xml:space="preserve"> </w:t>
            </w:r>
          </w:p>
        </w:tc>
      </w:tr>
    </w:tbl>
    <w:p>
      <w:pPr>
        <w:pageBreakBefore w:val="0"/>
        <w:widowControl w:val="0"/>
        <w:kinsoku/>
        <w:wordWrap/>
        <w:overflowPunct/>
        <w:topLinePunct w:val="0"/>
        <w:autoSpaceDE/>
        <w:autoSpaceDN/>
        <w:bidi w:val="0"/>
        <w:adjustRightInd/>
        <w:snapToGrid/>
        <w:spacing w:line="500" w:lineRule="exact"/>
        <w:ind w:firstLine="422" w:firstLineChars="200"/>
        <w:textAlignment w:val="auto"/>
        <w:outlineLvl w:val="1"/>
        <w:rPr>
          <w:rFonts w:hint="eastAsia" w:asciiTheme="minorEastAsia" w:hAnsiTheme="minorEastAsia" w:cstheme="minorEastAsia"/>
          <w:b/>
          <w:bCs/>
          <w:sz w:val="21"/>
          <w:szCs w:val="21"/>
        </w:rPr>
      </w:pPr>
      <w:bookmarkStart w:id="66" w:name="_Toc31689"/>
      <w:bookmarkStart w:id="67" w:name="_Toc27172"/>
      <w:r>
        <w:rPr>
          <w:rFonts w:hint="eastAsia" w:asciiTheme="minorEastAsia" w:hAnsiTheme="minorEastAsia" w:cstheme="minorEastAsia"/>
          <w:b/>
          <w:bCs/>
          <w:sz w:val="21"/>
          <w:szCs w:val="21"/>
        </w:rPr>
        <w:t>（二）</w:t>
      </w:r>
      <w:r>
        <w:rPr>
          <w:rFonts w:hint="eastAsia" w:asciiTheme="minorEastAsia" w:hAnsiTheme="minorEastAsia" w:cstheme="minorEastAsia"/>
          <w:b/>
          <w:bCs/>
          <w:sz w:val="21"/>
          <w:szCs w:val="21"/>
          <w:lang w:val="en-US" w:eastAsia="zh-CN"/>
        </w:rPr>
        <w:t>充电服务费</w:t>
      </w:r>
      <w:r>
        <w:rPr>
          <w:rFonts w:hint="eastAsia" w:asciiTheme="minorEastAsia" w:hAnsiTheme="minorEastAsia" w:cstheme="minorEastAsia"/>
          <w:b/>
          <w:bCs/>
          <w:sz w:val="21"/>
          <w:szCs w:val="21"/>
        </w:rPr>
        <w:t>结算方式</w:t>
      </w:r>
      <w:bookmarkEnd w:id="66"/>
      <w:bookmarkEnd w:id="67"/>
    </w:p>
    <w:p>
      <w:pPr>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cstheme="minorEastAsia"/>
          <w:sz w:val="21"/>
          <w:szCs w:val="21"/>
        </w:rPr>
      </w:pPr>
      <w:r>
        <w:rPr>
          <w:rFonts w:hint="eastAsia" w:asciiTheme="minorEastAsia" w:hAnsiTheme="minorEastAsia" w:cstheme="minorEastAsia"/>
          <w:sz w:val="21"/>
          <w:szCs w:val="21"/>
        </w:rPr>
        <w:t>1.充电服务费每季度结算一次。</w:t>
      </w:r>
    </w:p>
    <w:p>
      <w:pPr>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cstheme="minorEastAsia"/>
          <w:sz w:val="21"/>
          <w:szCs w:val="21"/>
        </w:rPr>
      </w:pPr>
      <w:r>
        <w:rPr>
          <w:rFonts w:hint="eastAsia" w:asciiTheme="minorEastAsia" w:hAnsiTheme="minorEastAsia" w:cstheme="minorEastAsia"/>
          <w:sz w:val="21"/>
          <w:szCs w:val="21"/>
        </w:rPr>
        <w:t>2.乙方每季度结束后5日内向甲方提供上个结算周期的充电服务费分成结算表，甲方在收到乙方提供的充电服务费分成结算表之日起7个工作日内进行核对，如有任何异议，应及时向乙方提出，由双方共同核对，在双方无异议后确认结算金额；如对充电服务费有异议，甲方有权进入乙方充电APP（或微信公众号、微信小程序等）后台查看充电实时数据。如甲方未在收到乙方提供充电服务费分成结算表之日起的7日内提出异议，则视为没有异议，双方按结算表所确定金额予以结算。</w:t>
      </w:r>
    </w:p>
    <w:p>
      <w:pPr>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cstheme="minorEastAsia"/>
          <w:sz w:val="21"/>
          <w:szCs w:val="21"/>
        </w:rPr>
      </w:pPr>
      <w:r>
        <w:rPr>
          <w:rFonts w:hint="eastAsia" w:asciiTheme="minorEastAsia" w:hAnsiTheme="minorEastAsia" w:cstheme="minorEastAsia"/>
          <w:sz w:val="21"/>
          <w:szCs w:val="21"/>
        </w:rPr>
        <w:t>3.甲方应当在双方确认结算金额之日起7个工作日内，根据经双方核对的结算金额，且乙方提供一般纳税人资格证明资料后，向乙方提供等额的增值税专用发票。乙方收到发票之日起5个工作日内，向甲方支付充电服务费收入的分成部分。每延付一天，按延付总金额千分之三/天的标准支付</w:t>
      </w:r>
      <w:r>
        <w:rPr>
          <w:rFonts w:hint="eastAsia" w:asciiTheme="minorEastAsia" w:hAnsiTheme="minorEastAsia" w:cstheme="minorEastAsia"/>
          <w:sz w:val="21"/>
          <w:szCs w:val="21"/>
          <w:lang w:val="en-US" w:eastAsia="zh-CN"/>
        </w:rPr>
        <w:t>违约金</w:t>
      </w:r>
      <w:r>
        <w:rPr>
          <w:rFonts w:hint="eastAsia" w:asciiTheme="minorEastAsia" w:hAnsiTheme="minorEastAsia" w:cstheme="minorEastAsia"/>
          <w:sz w:val="21"/>
          <w:szCs w:val="21"/>
        </w:rPr>
        <w:t>。</w:t>
      </w:r>
    </w:p>
    <w:p>
      <w:pPr>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cstheme="minorEastAsia"/>
          <w:sz w:val="21"/>
          <w:szCs w:val="21"/>
        </w:rPr>
      </w:pPr>
      <w:r>
        <w:rPr>
          <w:rFonts w:hint="eastAsia" w:asciiTheme="minorEastAsia" w:hAnsiTheme="minorEastAsia" w:cstheme="minorEastAsia"/>
          <w:sz w:val="21"/>
          <w:szCs w:val="21"/>
        </w:rPr>
        <w:t>4.季度结算金额=【上一季度</w:t>
      </w:r>
      <w:r>
        <w:rPr>
          <w:rFonts w:hint="eastAsia" w:asciiTheme="minorEastAsia" w:hAnsiTheme="minorEastAsia" w:cstheme="minorEastAsia"/>
          <w:sz w:val="21"/>
          <w:szCs w:val="21"/>
          <w:lang w:val="en-US" w:eastAsia="zh-CN"/>
        </w:rPr>
        <w:t>含税</w:t>
      </w:r>
      <w:r>
        <w:rPr>
          <w:rFonts w:hint="eastAsia" w:asciiTheme="minorEastAsia" w:hAnsiTheme="minorEastAsia" w:cstheme="minorEastAsia"/>
          <w:sz w:val="21"/>
          <w:szCs w:val="21"/>
        </w:rPr>
        <w:t>充电服务费】*服务费分成比例。</w:t>
      </w:r>
    </w:p>
    <w:p>
      <w:pPr>
        <w:pageBreakBefore w:val="0"/>
        <w:widowControl w:val="0"/>
        <w:kinsoku/>
        <w:wordWrap/>
        <w:overflowPunct/>
        <w:topLinePunct w:val="0"/>
        <w:autoSpaceDE/>
        <w:autoSpaceDN/>
        <w:bidi w:val="0"/>
        <w:adjustRightInd/>
        <w:snapToGrid/>
        <w:spacing w:line="500" w:lineRule="exact"/>
        <w:ind w:firstLine="420" w:firstLineChars="200"/>
        <w:textAlignment w:val="auto"/>
        <w:rPr>
          <w:rFonts w:hint="default" w:asciiTheme="minorEastAsia" w:hAnsiTheme="minorEastAsia" w:eastAsiaTheme="minorEastAsia" w:cstheme="minorEastAsia"/>
          <w:sz w:val="21"/>
          <w:szCs w:val="21"/>
          <w:highlight w:val="none"/>
          <w:lang w:val="en-US" w:eastAsia="zh-CN"/>
        </w:rPr>
      </w:pPr>
      <w:r>
        <w:rPr>
          <w:rFonts w:hint="eastAsia" w:asciiTheme="minorEastAsia" w:hAnsiTheme="minorEastAsia" w:cstheme="minorEastAsia"/>
          <w:sz w:val="21"/>
          <w:szCs w:val="21"/>
          <w:highlight w:val="none"/>
          <w:lang w:val="en-US" w:eastAsia="zh-CN"/>
        </w:rPr>
        <w:t>5.关于税费：充电服务费增值税税率为6%（国家政策法规对增值税税率作出调整的，按最新法定税率执行）。</w:t>
      </w:r>
    </w:p>
    <w:p>
      <w:pPr>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cstheme="minorEastAsia"/>
          <w:sz w:val="21"/>
          <w:szCs w:val="21"/>
        </w:rPr>
      </w:pPr>
      <w:r>
        <w:rPr>
          <w:rFonts w:hint="eastAsia" w:asciiTheme="minorEastAsia" w:hAnsiTheme="minorEastAsia" w:cstheme="minorEastAsia"/>
          <w:sz w:val="21"/>
          <w:szCs w:val="21"/>
          <w:lang w:val="en-US" w:eastAsia="zh-CN"/>
        </w:rPr>
        <w:t>6</w:t>
      </w:r>
      <w:r>
        <w:rPr>
          <w:rFonts w:hint="eastAsia" w:asciiTheme="minorEastAsia" w:hAnsiTheme="minorEastAsia" w:cstheme="minorEastAsia"/>
          <w:sz w:val="21"/>
          <w:szCs w:val="21"/>
        </w:rPr>
        <w:t>.服务费分成付款：乙方以银行转账的方式向甲方支付充电服务费分成款项。且乙方提供一般纳税人资格证明资料后，甲方向乙方提供等额的服务费增值税专用发票。甲方指定收款账户信息如下：</w:t>
      </w:r>
    </w:p>
    <w:p>
      <w:pPr>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cstheme="minorEastAsia"/>
          <w:sz w:val="21"/>
          <w:szCs w:val="21"/>
        </w:rPr>
      </w:pPr>
      <w:r>
        <w:rPr>
          <w:rFonts w:hint="eastAsia" w:asciiTheme="minorEastAsia" w:hAnsiTheme="minorEastAsia" w:cstheme="minorEastAsia"/>
          <w:sz w:val="21"/>
          <w:szCs w:val="21"/>
        </w:rPr>
        <w:t>公司全称：</w:t>
      </w:r>
    </w:p>
    <w:p>
      <w:pPr>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cstheme="minorEastAsia"/>
          <w:sz w:val="21"/>
          <w:szCs w:val="21"/>
        </w:rPr>
      </w:pPr>
      <w:r>
        <w:rPr>
          <w:rFonts w:hint="eastAsia" w:asciiTheme="minorEastAsia" w:hAnsiTheme="minorEastAsia" w:cstheme="minorEastAsia"/>
          <w:sz w:val="21"/>
          <w:szCs w:val="21"/>
        </w:rPr>
        <w:t>开 户 行：</w:t>
      </w:r>
    </w:p>
    <w:p>
      <w:pPr>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cstheme="minorEastAsia"/>
          <w:sz w:val="21"/>
          <w:szCs w:val="21"/>
        </w:rPr>
      </w:pPr>
      <w:r>
        <w:rPr>
          <w:rFonts w:hint="eastAsia" w:asciiTheme="minorEastAsia" w:hAnsiTheme="minorEastAsia" w:cstheme="minorEastAsia"/>
          <w:sz w:val="21"/>
          <w:szCs w:val="21"/>
        </w:rPr>
        <w:t>银行账号：</w:t>
      </w:r>
    </w:p>
    <w:p>
      <w:pPr>
        <w:pageBreakBefore w:val="0"/>
        <w:widowControl w:val="0"/>
        <w:kinsoku/>
        <w:wordWrap/>
        <w:overflowPunct/>
        <w:topLinePunct w:val="0"/>
        <w:autoSpaceDE/>
        <w:autoSpaceDN/>
        <w:bidi w:val="0"/>
        <w:adjustRightInd/>
        <w:snapToGrid/>
        <w:spacing w:line="500" w:lineRule="exact"/>
        <w:ind w:firstLine="422" w:firstLineChars="200"/>
        <w:textAlignment w:val="auto"/>
        <w:outlineLvl w:val="1"/>
        <w:rPr>
          <w:rFonts w:hint="eastAsia" w:asciiTheme="minorEastAsia" w:hAnsiTheme="minorEastAsia" w:cstheme="minorEastAsia"/>
          <w:b/>
          <w:bCs/>
          <w:sz w:val="21"/>
          <w:szCs w:val="21"/>
        </w:rPr>
      </w:pPr>
      <w:bookmarkStart w:id="68" w:name="_Toc6466"/>
      <w:r>
        <w:rPr>
          <w:rFonts w:hint="eastAsia" w:asciiTheme="minorEastAsia" w:hAnsiTheme="minorEastAsia" w:cstheme="minorEastAsia"/>
          <w:b/>
          <w:bCs/>
          <w:sz w:val="21"/>
          <w:szCs w:val="21"/>
        </w:rPr>
        <w:t>（</w:t>
      </w:r>
      <w:r>
        <w:rPr>
          <w:rFonts w:hint="eastAsia" w:asciiTheme="minorEastAsia" w:hAnsiTheme="minorEastAsia" w:cstheme="minorEastAsia"/>
          <w:b/>
          <w:bCs/>
          <w:sz w:val="21"/>
          <w:szCs w:val="21"/>
          <w:lang w:val="en-US" w:eastAsia="zh-CN"/>
        </w:rPr>
        <w:t>三</w:t>
      </w:r>
      <w:r>
        <w:rPr>
          <w:rFonts w:hint="eastAsia" w:asciiTheme="minorEastAsia" w:hAnsiTheme="minorEastAsia" w:cstheme="minorEastAsia"/>
          <w:b/>
          <w:bCs/>
          <w:sz w:val="21"/>
          <w:szCs w:val="21"/>
        </w:rPr>
        <w:t>）</w:t>
      </w:r>
      <w:r>
        <w:rPr>
          <w:rFonts w:hint="eastAsia" w:asciiTheme="minorEastAsia" w:hAnsiTheme="minorEastAsia" w:cstheme="minorEastAsia"/>
          <w:b/>
          <w:bCs/>
          <w:sz w:val="21"/>
          <w:szCs w:val="21"/>
          <w:lang w:val="en-US" w:eastAsia="zh-CN"/>
        </w:rPr>
        <w:t>充电电费</w:t>
      </w:r>
      <w:r>
        <w:rPr>
          <w:rFonts w:hint="eastAsia" w:asciiTheme="minorEastAsia" w:hAnsiTheme="minorEastAsia" w:cstheme="minorEastAsia"/>
          <w:b/>
          <w:bCs/>
          <w:sz w:val="21"/>
          <w:szCs w:val="21"/>
        </w:rPr>
        <w:t>结算方式</w:t>
      </w:r>
      <w:bookmarkEnd w:id="68"/>
    </w:p>
    <w:p>
      <w:pPr>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1.计量依据：以充电桩低压相变出线端电表计量数据为准；</w:t>
      </w:r>
    </w:p>
    <w:p>
      <w:pPr>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2.结算周期：</w:t>
      </w:r>
      <w:r>
        <w:rPr>
          <w:rFonts w:hint="eastAsia" w:asciiTheme="minorEastAsia" w:hAnsiTheme="minorEastAsia" w:cstheme="minorEastAsia"/>
          <w:sz w:val="21"/>
          <w:szCs w:val="21"/>
        </w:rPr>
        <w:t>每季度结算一次</w:t>
      </w:r>
      <w:r>
        <w:rPr>
          <w:rFonts w:hint="eastAsia" w:asciiTheme="minorEastAsia" w:hAnsiTheme="minorEastAsia" w:cstheme="minorEastAsia"/>
          <w:sz w:val="21"/>
          <w:szCs w:val="21"/>
          <w:lang w:eastAsia="zh-CN"/>
        </w:rPr>
        <w:t>，</w:t>
      </w:r>
      <w:r>
        <w:rPr>
          <w:rFonts w:hint="eastAsia" w:asciiTheme="minorEastAsia" w:hAnsiTheme="minorEastAsia" w:cstheme="minorEastAsia"/>
          <w:sz w:val="21"/>
          <w:szCs w:val="21"/>
          <w:lang w:val="en-US" w:eastAsia="zh-CN"/>
        </w:rPr>
        <w:t>与充电服务费同步结算；</w:t>
      </w:r>
    </w:p>
    <w:p>
      <w:pPr>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3.</w:t>
      </w:r>
      <w:r>
        <w:rPr>
          <w:rFonts w:hint="eastAsia" w:asciiTheme="minorEastAsia" w:hAnsiTheme="minorEastAsia" w:cstheme="minorEastAsia"/>
          <w:sz w:val="21"/>
          <w:szCs w:val="21"/>
        </w:rPr>
        <w:t>季度结算金额=上一季度</w:t>
      </w:r>
      <w:r>
        <w:rPr>
          <w:rFonts w:hint="eastAsia" w:asciiTheme="minorEastAsia" w:hAnsiTheme="minorEastAsia" w:cstheme="minorEastAsia"/>
          <w:sz w:val="21"/>
          <w:szCs w:val="21"/>
          <w:lang w:val="en-US" w:eastAsia="zh-CN"/>
        </w:rPr>
        <w:t>电表计量电量*项目电价</w:t>
      </w:r>
    </w:p>
    <w:p>
      <w:pPr>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cstheme="minorEastAsia"/>
          <w:sz w:val="21"/>
          <w:szCs w:val="21"/>
          <w:highlight w:val="none"/>
          <w:lang w:val="en-US" w:eastAsia="zh-CN"/>
        </w:rPr>
      </w:pPr>
      <w:r>
        <w:rPr>
          <w:rFonts w:hint="eastAsia" w:asciiTheme="minorEastAsia" w:hAnsiTheme="minorEastAsia" w:cstheme="minorEastAsia"/>
          <w:sz w:val="21"/>
          <w:szCs w:val="21"/>
          <w:lang w:val="en-US" w:eastAsia="zh-CN"/>
        </w:rPr>
        <w:t>4.</w:t>
      </w:r>
      <w:r>
        <w:rPr>
          <w:rFonts w:hint="eastAsia" w:asciiTheme="minorEastAsia" w:hAnsiTheme="minorEastAsia" w:cstheme="minorEastAsia"/>
          <w:sz w:val="21"/>
          <w:szCs w:val="21"/>
          <w:highlight w:val="none"/>
          <w:lang w:val="en-US" w:eastAsia="zh-CN"/>
        </w:rPr>
        <w:t>关于税费：电费增值税税率为13%（国家政策法规对增值税税率作出调整的，按最新法定税率执行）。</w:t>
      </w:r>
    </w:p>
    <w:p>
      <w:pPr>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cstheme="minorEastAsia"/>
          <w:sz w:val="21"/>
          <w:szCs w:val="21"/>
        </w:rPr>
      </w:pPr>
      <w:r>
        <w:rPr>
          <w:rFonts w:hint="eastAsia" w:asciiTheme="minorEastAsia" w:hAnsiTheme="minorEastAsia" w:cstheme="minorEastAsia"/>
          <w:sz w:val="21"/>
          <w:szCs w:val="21"/>
          <w:highlight w:val="none"/>
          <w:lang w:val="en-US" w:eastAsia="zh-CN"/>
        </w:rPr>
        <w:t>5.</w:t>
      </w:r>
      <w:r>
        <w:rPr>
          <w:rFonts w:hint="eastAsia" w:asciiTheme="minorEastAsia" w:hAnsiTheme="minorEastAsia" w:cstheme="minorEastAsia"/>
          <w:sz w:val="21"/>
          <w:szCs w:val="21"/>
        </w:rPr>
        <w:t>乙方以银行转账的方式向甲方支付</w:t>
      </w:r>
      <w:r>
        <w:rPr>
          <w:rFonts w:hint="eastAsia" w:asciiTheme="minorEastAsia" w:hAnsiTheme="minorEastAsia" w:cstheme="minorEastAsia"/>
          <w:sz w:val="21"/>
          <w:szCs w:val="21"/>
          <w:lang w:val="en-US" w:eastAsia="zh-CN"/>
        </w:rPr>
        <w:t>充电桩电费</w:t>
      </w:r>
      <w:r>
        <w:rPr>
          <w:rFonts w:hint="eastAsia" w:asciiTheme="minorEastAsia" w:hAnsiTheme="minorEastAsia" w:cstheme="minorEastAsia"/>
          <w:sz w:val="21"/>
          <w:szCs w:val="21"/>
        </w:rPr>
        <w:t>。且乙方提供一般纳税人资格证明资料后，甲方向乙方提供等额的</w:t>
      </w:r>
      <w:r>
        <w:rPr>
          <w:rFonts w:hint="eastAsia" w:asciiTheme="minorEastAsia" w:hAnsiTheme="minorEastAsia" w:cstheme="minorEastAsia"/>
          <w:sz w:val="21"/>
          <w:szCs w:val="21"/>
          <w:lang w:val="en-US" w:eastAsia="zh-CN"/>
        </w:rPr>
        <w:t>电费</w:t>
      </w:r>
      <w:r>
        <w:rPr>
          <w:rFonts w:hint="eastAsia" w:asciiTheme="minorEastAsia" w:hAnsiTheme="minorEastAsia" w:cstheme="minorEastAsia"/>
          <w:sz w:val="21"/>
          <w:szCs w:val="21"/>
        </w:rPr>
        <w:t>增值税专用发票。甲方指定收款账户信息如下：</w:t>
      </w:r>
    </w:p>
    <w:p>
      <w:pPr>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同充电服务费收款账户。</w:t>
      </w:r>
    </w:p>
    <w:p>
      <w:pPr>
        <w:pageBreakBefore w:val="0"/>
        <w:widowControl w:val="0"/>
        <w:kinsoku/>
        <w:wordWrap/>
        <w:overflowPunct/>
        <w:topLinePunct w:val="0"/>
        <w:autoSpaceDE/>
        <w:autoSpaceDN/>
        <w:bidi w:val="0"/>
        <w:adjustRightInd/>
        <w:snapToGrid/>
        <w:spacing w:line="500" w:lineRule="exact"/>
        <w:textAlignment w:val="auto"/>
        <w:outlineLvl w:val="0"/>
        <w:rPr>
          <w:rFonts w:hint="eastAsia" w:asciiTheme="minorEastAsia" w:hAnsiTheme="minorEastAsia" w:cstheme="minorEastAsia"/>
          <w:b/>
          <w:bCs/>
          <w:sz w:val="21"/>
          <w:szCs w:val="21"/>
        </w:rPr>
      </w:pPr>
      <w:bookmarkStart w:id="69" w:name="_Toc28342"/>
      <w:bookmarkStart w:id="70" w:name="_Toc25048"/>
      <w:r>
        <w:rPr>
          <w:rFonts w:hint="eastAsia" w:asciiTheme="minorEastAsia" w:hAnsiTheme="minorEastAsia" w:cstheme="minorEastAsia"/>
          <w:b/>
          <w:bCs/>
          <w:sz w:val="21"/>
          <w:szCs w:val="21"/>
        </w:rPr>
        <w:t>七、双方的权利与义务</w:t>
      </w:r>
      <w:bookmarkEnd w:id="69"/>
      <w:bookmarkEnd w:id="70"/>
    </w:p>
    <w:p>
      <w:pPr>
        <w:pageBreakBefore w:val="0"/>
        <w:widowControl w:val="0"/>
        <w:kinsoku/>
        <w:wordWrap/>
        <w:overflowPunct/>
        <w:topLinePunct w:val="0"/>
        <w:autoSpaceDE/>
        <w:autoSpaceDN/>
        <w:bidi w:val="0"/>
        <w:adjustRightInd/>
        <w:snapToGrid/>
        <w:spacing w:line="500" w:lineRule="exact"/>
        <w:ind w:firstLine="422" w:firstLineChars="200"/>
        <w:textAlignment w:val="auto"/>
        <w:outlineLvl w:val="1"/>
        <w:rPr>
          <w:rFonts w:hint="eastAsia" w:asciiTheme="minorEastAsia" w:hAnsiTheme="minorEastAsia" w:cstheme="minorEastAsia"/>
          <w:b/>
          <w:bCs/>
          <w:sz w:val="21"/>
          <w:szCs w:val="21"/>
        </w:rPr>
      </w:pPr>
      <w:bookmarkStart w:id="71" w:name="_Toc9053"/>
      <w:bookmarkStart w:id="72" w:name="_Toc6644"/>
      <w:r>
        <w:rPr>
          <w:rFonts w:hint="eastAsia" w:asciiTheme="minorEastAsia" w:hAnsiTheme="minorEastAsia" w:cstheme="minorEastAsia"/>
          <w:b/>
          <w:bCs/>
          <w:sz w:val="21"/>
          <w:szCs w:val="21"/>
        </w:rPr>
        <w:t>（一）甲方的权利与义务</w:t>
      </w:r>
      <w:bookmarkEnd w:id="71"/>
      <w:bookmarkEnd w:id="72"/>
    </w:p>
    <w:p>
      <w:pPr>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cstheme="minorEastAsia"/>
          <w:sz w:val="21"/>
          <w:szCs w:val="21"/>
        </w:rPr>
      </w:pPr>
      <w:r>
        <w:rPr>
          <w:rFonts w:hint="eastAsia" w:asciiTheme="minorEastAsia" w:hAnsiTheme="minorEastAsia" w:cstheme="minorEastAsia"/>
          <w:sz w:val="21"/>
          <w:szCs w:val="21"/>
        </w:rPr>
        <w:t>1.甲方认可乙方在停车场投资建设的充电设施及配套设备。</w:t>
      </w:r>
    </w:p>
    <w:p>
      <w:pPr>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cstheme="minorEastAsia"/>
          <w:sz w:val="21"/>
          <w:szCs w:val="21"/>
        </w:rPr>
      </w:pPr>
      <w:r>
        <w:rPr>
          <w:rFonts w:hint="eastAsia" w:asciiTheme="minorEastAsia" w:hAnsiTheme="minorEastAsia" w:cstheme="minorEastAsia"/>
          <w:sz w:val="21"/>
          <w:szCs w:val="21"/>
        </w:rPr>
        <w:t>2.甲方在停车场为乙方的充电设施及配套设备提供必要的电力和网络接入环境，并且甲方应保证合作场地的所有权或其使用权期限应覆盖本协议的期限。</w:t>
      </w:r>
    </w:p>
    <w:p>
      <w:pPr>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cstheme="minorEastAsia"/>
          <w:sz w:val="21"/>
          <w:szCs w:val="21"/>
        </w:rPr>
      </w:pPr>
      <w:r>
        <w:rPr>
          <w:rFonts w:hint="eastAsia" w:asciiTheme="minorEastAsia" w:hAnsiTheme="minorEastAsia" w:cstheme="minorEastAsia"/>
          <w:sz w:val="21"/>
          <w:szCs w:val="21"/>
        </w:rPr>
        <w:t>3.甲方负责提供合作场地的产权证明</w:t>
      </w:r>
      <w:r>
        <w:rPr>
          <w:rFonts w:hint="eastAsia" w:asciiTheme="minorEastAsia" w:hAnsiTheme="minorEastAsia" w:cstheme="minorEastAsia"/>
          <w:sz w:val="21"/>
          <w:szCs w:val="21"/>
          <w:lang w:val="en-US" w:eastAsia="zh-CN"/>
        </w:rPr>
        <w:t>或</w:t>
      </w:r>
      <w:r>
        <w:rPr>
          <w:rFonts w:hint="eastAsia" w:asciiTheme="minorEastAsia" w:hAnsiTheme="minorEastAsia" w:cstheme="minorEastAsia"/>
          <w:sz w:val="21"/>
          <w:szCs w:val="21"/>
        </w:rPr>
        <w:t>产权方允许乙方在合作场地建设充电设施及配套设备的许可证明。</w:t>
      </w:r>
    </w:p>
    <w:p>
      <w:pPr>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cstheme="minorEastAsia"/>
          <w:sz w:val="21"/>
          <w:szCs w:val="21"/>
        </w:rPr>
      </w:pPr>
      <w:r>
        <w:rPr>
          <w:rFonts w:hint="eastAsia" w:asciiTheme="minorEastAsia" w:hAnsiTheme="minorEastAsia" w:cstheme="minorEastAsia"/>
          <w:sz w:val="21"/>
          <w:szCs w:val="21"/>
        </w:rPr>
        <w:t>4.合作期限内,甲方确保合作场地对社会电动车辆开放,确保社会电动车辆可正常进出合作场地并进行充电服务，确保乙方在合同期限内正常使用充电桩。</w:t>
      </w:r>
    </w:p>
    <w:p>
      <w:pPr>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cstheme="minorEastAsia"/>
          <w:sz w:val="21"/>
          <w:szCs w:val="21"/>
        </w:rPr>
      </w:pPr>
      <w:r>
        <w:rPr>
          <w:rFonts w:hint="eastAsia" w:asciiTheme="minorEastAsia" w:hAnsiTheme="minorEastAsia" w:cstheme="minorEastAsia"/>
          <w:sz w:val="21"/>
          <w:szCs w:val="21"/>
        </w:rPr>
        <w:t>5.合作期限内，甲方不得无故移动或拆除充电设施及配套设备；若由于甲方原因需要移动或拆除充电设施及配套设备，在甲乙双方协商一致的前提下，由乙方技术人员进行移动或拆除，造成的相关损失及费用由甲方承担。</w:t>
      </w:r>
    </w:p>
    <w:p>
      <w:pPr>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cstheme="minorEastAsia"/>
          <w:sz w:val="21"/>
          <w:szCs w:val="21"/>
        </w:rPr>
      </w:pPr>
      <w:r>
        <w:rPr>
          <w:rFonts w:hint="eastAsia" w:asciiTheme="minorEastAsia" w:hAnsiTheme="minorEastAsia" w:cstheme="minorEastAsia"/>
          <w:sz w:val="21"/>
          <w:szCs w:val="21"/>
        </w:rPr>
        <w:t>6.甲方为乙方提供包含但不限于必要的充电设施及配套设备施工、安装、运行及维护的条件。</w:t>
      </w:r>
    </w:p>
    <w:p>
      <w:pPr>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cstheme="minorEastAsia"/>
          <w:sz w:val="21"/>
          <w:szCs w:val="21"/>
        </w:rPr>
      </w:pPr>
      <w:r>
        <w:rPr>
          <w:rFonts w:hint="eastAsia" w:asciiTheme="minorEastAsia" w:hAnsiTheme="minorEastAsia" w:cstheme="minorEastAsia"/>
          <w:sz w:val="21"/>
          <w:szCs w:val="21"/>
        </w:rPr>
        <w:t>7.甲方相关人员应遵守乙方关于充电桩运营管理规定要求。在履行本协议过程中，由于甲方或甲方工作人员过错原因对其他方造成损害，其他方有权要求甲方赔偿相关经济损失，与乙方无关。</w:t>
      </w:r>
    </w:p>
    <w:p>
      <w:pPr>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cstheme="minorEastAsia"/>
          <w:sz w:val="21"/>
          <w:szCs w:val="21"/>
        </w:rPr>
      </w:pPr>
      <w:r>
        <w:rPr>
          <w:rFonts w:hint="eastAsia" w:asciiTheme="minorEastAsia" w:hAnsiTheme="minorEastAsia" w:cstheme="minorEastAsia"/>
          <w:sz w:val="21"/>
          <w:szCs w:val="21"/>
        </w:rPr>
        <w:t>8.因甲方电力基础设施设备技术升级改造或电力中断（包括但不限于政府限电、施工改造、供电部门检修</w:t>
      </w:r>
      <w:r>
        <w:rPr>
          <w:rFonts w:hint="eastAsia" w:asciiTheme="minorEastAsia" w:hAnsiTheme="minorEastAsia" w:cstheme="minorEastAsia"/>
          <w:sz w:val="21"/>
          <w:szCs w:val="21"/>
          <w:lang w:eastAsia="zh-CN"/>
        </w:rPr>
        <w:t>、</w:t>
      </w:r>
      <w:r>
        <w:rPr>
          <w:rFonts w:hint="eastAsia" w:asciiTheme="minorEastAsia" w:hAnsiTheme="minorEastAsia" w:cstheme="minorEastAsia"/>
          <w:sz w:val="21"/>
          <w:szCs w:val="21"/>
          <w:lang w:val="en-US" w:eastAsia="zh-CN"/>
        </w:rPr>
        <w:t>甲方进行设备检修、维修</w:t>
      </w:r>
      <w:r>
        <w:rPr>
          <w:rFonts w:hint="eastAsia" w:asciiTheme="minorEastAsia" w:hAnsiTheme="minorEastAsia" w:cstheme="minorEastAsia"/>
          <w:sz w:val="21"/>
          <w:szCs w:val="21"/>
        </w:rPr>
        <w:t>）等特殊情况，甲方应提前通知乙方，调整充电服务时间，并提供应急处置方案，甲方抓紧处理以降低对车辆充电的影响。</w:t>
      </w:r>
    </w:p>
    <w:p>
      <w:pPr>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cstheme="minorEastAsia"/>
          <w:sz w:val="21"/>
          <w:szCs w:val="21"/>
        </w:rPr>
      </w:pPr>
      <w:r>
        <w:rPr>
          <w:rFonts w:hint="eastAsia" w:asciiTheme="minorEastAsia" w:hAnsiTheme="minorEastAsia" w:cstheme="minorEastAsia"/>
          <w:sz w:val="21"/>
          <w:szCs w:val="21"/>
        </w:rPr>
        <w:t>9.甲方配合乙方开展充电桩的运营管理和业务拓展，适当的为充电桩运营做宣传和引导，以提高充电桩利用率。</w:t>
      </w:r>
    </w:p>
    <w:p>
      <w:pPr>
        <w:pageBreakBefore w:val="0"/>
        <w:widowControl w:val="0"/>
        <w:kinsoku/>
        <w:wordWrap/>
        <w:overflowPunct/>
        <w:topLinePunct w:val="0"/>
        <w:autoSpaceDE/>
        <w:autoSpaceDN/>
        <w:bidi w:val="0"/>
        <w:adjustRightInd/>
        <w:snapToGrid/>
        <w:spacing w:line="500" w:lineRule="exact"/>
        <w:ind w:firstLine="422" w:firstLineChars="200"/>
        <w:textAlignment w:val="auto"/>
        <w:outlineLvl w:val="1"/>
        <w:rPr>
          <w:rFonts w:hint="eastAsia" w:asciiTheme="minorEastAsia" w:hAnsiTheme="minorEastAsia" w:cstheme="minorEastAsia"/>
          <w:b/>
          <w:bCs/>
          <w:sz w:val="21"/>
          <w:szCs w:val="21"/>
        </w:rPr>
      </w:pPr>
      <w:bookmarkStart w:id="73" w:name="_Toc11410"/>
      <w:bookmarkStart w:id="74" w:name="_Toc16634"/>
      <w:r>
        <w:rPr>
          <w:rFonts w:hint="eastAsia" w:asciiTheme="minorEastAsia" w:hAnsiTheme="minorEastAsia" w:cstheme="minorEastAsia"/>
          <w:b/>
          <w:bCs/>
          <w:sz w:val="21"/>
          <w:szCs w:val="21"/>
        </w:rPr>
        <w:t>（二）乙方的权利与义务</w:t>
      </w:r>
      <w:bookmarkEnd w:id="73"/>
      <w:bookmarkEnd w:id="74"/>
    </w:p>
    <w:p>
      <w:pPr>
        <w:pageBreakBefore w:val="0"/>
        <w:widowControl w:val="0"/>
        <w:kinsoku/>
        <w:wordWrap/>
        <w:overflowPunct/>
        <w:topLinePunct w:val="0"/>
        <w:autoSpaceDE/>
        <w:autoSpaceDN/>
        <w:bidi w:val="0"/>
        <w:adjustRightInd/>
        <w:snapToGrid/>
        <w:spacing w:line="500" w:lineRule="exact"/>
        <w:ind w:firstLine="420" w:firstLineChars="20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1.乙方已充分了解本项目合作场地的政策、业态、区位、所在区域经济发展水平、用户群体需求和消费水平、设备运行维护或更新升级成本等可能影响投资收益的因素，自愿承担项目的全部投资和运营成本，并承担全部经营风险。</w:t>
      </w:r>
    </w:p>
    <w:p>
      <w:pPr>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cstheme="minorEastAsia"/>
          <w:sz w:val="21"/>
          <w:szCs w:val="21"/>
        </w:rPr>
      </w:pPr>
      <w:r>
        <w:rPr>
          <w:rFonts w:hint="eastAsia" w:asciiTheme="minorEastAsia" w:hAnsiTheme="minorEastAsia" w:cstheme="minorEastAsia"/>
          <w:sz w:val="21"/>
          <w:szCs w:val="21"/>
          <w:lang w:val="en-US" w:eastAsia="zh-CN"/>
        </w:rPr>
        <w:t>2</w:t>
      </w:r>
      <w:r>
        <w:rPr>
          <w:rFonts w:hint="eastAsia" w:asciiTheme="minorEastAsia" w:hAnsiTheme="minorEastAsia" w:cstheme="minorEastAsia"/>
          <w:sz w:val="21"/>
          <w:szCs w:val="21"/>
        </w:rPr>
        <w:t>.乙方在合作场地内投资配建的充电设施及配套设备其产权和管理权归乙方所有，并负责合作期内充电桩的运营及维护。</w:t>
      </w:r>
    </w:p>
    <w:p>
      <w:pPr>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cstheme="minorEastAsia"/>
          <w:sz w:val="21"/>
          <w:szCs w:val="21"/>
        </w:rPr>
      </w:pPr>
      <w:r>
        <w:rPr>
          <w:rFonts w:hint="eastAsia" w:asciiTheme="minorEastAsia" w:hAnsiTheme="minorEastAsia" w:cstheme="minorEastAsia"/>
          <w:sz w:val="21"/>
          <w:szCs w:val="21"/>
          <w:lang w:val="en-US" w:eastAsia="zh-CN"/>
        </w:rPr>
        <w:t>3</w:t>
      </w:r>
      <w:r>
        <w:rPr>
          <w:rFonts w:hint="eastAsia" w:asciiTheme="minorEastAsia" w:hAnsiTheme="minorEastAsia" w:cstheme="minorEastAsia"/>
          <w:sz w:val="21"/>
          <w:szCs w:val="21"/>
        </w:rPr>
        <w:t>.乙方对合作场地内的停车位和充电设施及配套设备的建设规划、设计和施工方案应服从甲方停车场的整体规划</w:t>
      </w:r>
      <w:r>
        <w:rPr>
          <w:rFonts w:hint="eastAsia" w:asciiTheme="minorEastAsia" w:hAnsiTheme="minorEastAsia" w:cstheme="minorEastAsia"/>
          <w:sz w:val="21"/>
          <w:szCs w:val="21"/>
          <w:lang w:eastAsia="zh-CN"/>
        </w:rPr>
        <w:t>，</w:t>
      </w:r>
      <w:r>
        <w:rPr>
          <w:rFonts w:hint="eastAsia" w:asciiTheme="minorEastAsia" w:hAnsiTheme="minorEastAsia" w:cstheme="minorEastAsia"/>
          <w:sz w:val="21"/>
          <w:szCs w:val="21"/>
          <w:lang w:val="en-US" w:eastAsia="zh-CN"/>
        </w:rPr>
        <w:t>且由乙方负责办理充电</w:t>
      </w:r>
      <w:r>
        <w:rPr>
          <w:rFonts w:hint="eastAsia" w:asciiTheme="minorEastAsia" w:hAnsiTheme="minorEastAsia" w:cstheme="minorEastAsia"/>
          <w:sz w:val="21"/>
          <w:szCs w:val="21"/>
        </w:rPr>
        <w:t>设施及配套</w:t>
      </w:r>
      <w:r>
        <w:rPr>
          <w:rFonts w:hint="eastAsia" w:asciiTheme="minorEastAsia" w:hAnsiTheme="minorEastAsia" w:cstheme="minorEastAsia"/>
          <w:sz w:val="21"/>
          <w:szCs w:val="21"/>
          <w:lang w:val="en-US" w:eastAsia="zh-CN"/>
        </w:rPr>
        <w:t>设备所需的面向供电部门的电力报装、用电手续以及相关部门的备案及验收等运营所需的全部手续</w:t>
      </w:r>
      <w:r>
        <w:rPr>
          <w:rFonts w:hint="eastAsia" w:asciiTheme="minorEastAsia" w:hAnsiTheme="minorEastAsia" w:cstheme="minorEastAsia"/>
          <w:sz w:val="21"/>
          <w:szCs w:val="21"/>
        </w:rPr>
        <w:t>。</w:t>
      </w:r>
    </w:p>
    <w:p>
      <w:pPr>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cstheme="minorEastAsia"/>
          <w:sz w:val="21"/>
          <w:szCs w:val="21"/>
        </w:rPr>
      </w:pPr>
      <w:r>
        <w:rPr>
          <w:rFonts w:hint="eastAsia" w:asciiTheme="minorEastAsia" w:hAnsiTheme="minorEastAsia" w:cstheme="minorEastAsia"/>
          <w:sz w:val="21"/>
          <w:szCs w:val="21"/>
          <w:lang w:val="en-US" w:eastAsia="zh-CN"/>
        </w:rPr>
        <w:t>4</w:t>
      </w:r>
      <w:r>
        <w:rPr>
          <w:rFonts w:hint="eastAsia" w:asciiTheme="minorEastAsia" w:hAnsiTheme="minorEastAsia" w:cstheme="minorEastAsia"/>
          <w:sz w:val="21"/>
          <w:szCs w:val="21"/>
        </w:rPr>
        <w:t>.乙方提供的充电桩等设施设备应符合国家、深圳市相关行业标准，确保其提供设备及服务的安全性且该等产品不侵犯他人权利</w:t>
      </w:r>
      <w:r>
        <w:rPr>
          <w:rFonts w:hint="eastAsia" w:asciiTheme="minorEastAsia" w:hAnsiTheme="minorEastAsia" w:cstheme="minorEastAsia"/>
          <w:sz w:val="21"/>
          <w:szCs w:val="21"/>
          <w:lang w:eastAsia="zh-CN"/>
        </w:rPr>
        <w:t>，如其提供的充电设备涉及知识产权</w:t>
      </w:r>
      <w:r>
        <w:rPr>
          <w:rFonts w:hint="eastAsia" w:asciiTheme="minorEastAsia" w:hAnsiTheme="minorEastAsia" w:cstheme="minorEastAsia"/>
          <w:sz w:val="21"/>
          <w:szCs w:val="21"/>
          <w:lang w:val="en-US" w:eastAsia="zh-CN"/>
        </w:rPr>
        <w:t>等</w:t>
      </w:r>
      <w:r>
        <w:rPr>
          <w:rFonts w:hint="eastAsia" w:asciiTheme="minorEastAsia" w:hAnsiTheme="minorEastAsia" w:cstheme="minorEastAsia"/>
          <w:sz w:val="21"/>
          <w:szCs w:val="21"/>
          <w:lang w:eastAsia="zh-CN"/>
        </w:rPr>
        <w:t>纠纷，相关侵权或赔偿责任由乙方自行承担</w:t>
      </w:r>
      <w:r>
        <w:rPr>
          <w:rFonts w:hint="eastAsia" w:asciiTheme="minorEastAsia" w:hAnsiTheme="minorEastAsia" w:cstheme="minorEastAsia"/>
          <w:sz w:val="21"/>
          <w:szCs w:val="21"/>
        </w:rPr>
        <w:t>。</w:t>
      </w:r>
    </w:p>
    <w:p>
      <w:pPr>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cstheme="minorEastAsia"/>
          <w:sz w:val="21"/>
          <w:szCs w:val="21"/>
        </w:rPr>
      </w:pPr>
      <w:r>
        <w:rPr>
          <w:rFonts w:hint="eastAsia" w:asciiTheme="minorEastAsia" w:hAnsiTheme="minorEastAsia" w:cstheme="minorEastAsia"/>
          <w:sz w:val="21"/>
          <w:szCs w:val="21"/>
          <w:lang w:val="en-US" w:eastAsia="zh-CN"/>
        </w:rPr>
        <w:t>5</w:t>
      </w:r>
      <w:r>
        <w:rPr>
          <w:rFonts w:hint="eastAsia" w:asciiTheme="minorEastAsia" w:hAnsiTheme="minorEastAsia" w:cstheme="minorEastAsia"/>
          <w:sz w:val="21"/>
          <w:szCs w:val="21"/>
        </w:rPr>
        <w:t>.乙方将充电设施及配套设备纳入乙方现有的安全体系中，并且乙方应采取必要措施避免该场地内的充电设施及配套设备发生漏电、触电、爆炸等安全事故，若因充电设施及配套设备自身存在安全隐患导致任何人员伤亡或财产损失，由乙方承担责任；若因自然灾害或不可抗因素引起的充电设施及配套设备损坏,导致人员伤亡或财产损失,乙方不承担任何赔偿、补偿责任。</w:t>
      </w:r>
    </w:p>
    <w:p>
      <w:pPr>
        <w:pageBreakBefore w:val="0"/>
        <w:widowControl w:val="0"/>
        <w:kinsoku/>
        <w:wordWrap/>
        <w:overflowPunct/>
        <w:topLinePunct w:val="0"/>
        <w:autoSpaceDE/>
        <w:autoSpaceDN/>
        <w:bidi w:val="0"/>
        <w:adjustRightInd/>
        <w:snapToGrid/>
        <w:spacing w:line="500" w:lineRule="exact"/>
        <w:ind w:firstLine="420" w:firstLineChars="20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6</w:t>
      </w:r>
      <w:r>
        <w:rPr>
          <w:rFonts w:hint="eastAsia" w:asciiTheme="minorEastAsia" w:hAnsiTheme="minorEastAsia" w:cstheme="minorEastAsia"/>
          <w:sz w:val="21"/>
          <w:szCs w:val="21"/>
        </w:rPr>
        <w:t>.乙方负责充电设施及配套设备的对外运营服务和日常管理、维护，并确保该充电设施即配套设备在合作期限内始终处于可正常使用之状态。</w:t>
      </w:r>
      <w:r>
        <w:rPr>
          <w:rFonts w:hint="eastAsia" w:asciiTheme="minorEastAsia" w:hAnsiTheme="minorEastAsia" w:cstheme="minorEastAsia"/>
          <w:sz w:val="21"/>
          <w:szCs w:val="21"/>
          <w:lang w:val="en-US" w:eastAsia="zh-CN"/>
        </w:rPr>
        <w:t>甲方为其提供必要的条件。</w:t>
      </w:r>
    </w:p>
    <w:p>
      <w:pPr>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cstheme="minorEastAsia"/>
          <w:sz w:val="21"/>
          <w:szCs w:val="21"/>
        </w:rPr>
      </w:pPr>
      <w:r>
        <w:rPr>
          <w:rFonts w:hint="eastAsia" w:asciiTheme="minorEastAsia" w:hAnsiTheme="minorEastAsia" w:cstheme="minorEastAsia"/>
          <w:sz w:val="21"/>
          <w:szCs w:val="21"/>
          <w:lang w:val="en-US" w:eastAsia="zh-CN"/>
        </w:rPr>
        <w:t>7</w:t>
      </w:r>
      <w:r>
        <w:rPr>
          <w:rFonts w:hint="eastAsia" w:asciiTheme="minorEastAsia" w:hAnsiTheme="minorEastAsia" w:cstheme="minorEastAsia"/>
          <w:sz w:val="21"/>
          <w:szCs w:val="21"/>
        </w:rPr>
        <w:t>.乙方系充电服务运营方，系安全生产管理责任主体，应建立安全生产管理制度及应急处理机制</w:t>
      </w:r>
      <w:r>
        <w:rPr>
          <w:rFonts w:hint="eastAsia" w:asciiTheme="minorEastAsia" w:hAnsiTheme="minorEastAsia" w:cstheme="minorEastAsia"/>
          <w:sz w:val="21"/>
          <w:szCs w:val="21"/>
          <w:lang w:eastAsia="zh-CN"/>
        </w:rPr>
        <w:t>、</w:t>
      </w:r>
      <w:r>
        <w:rPr>
          <w:rFonts w:hint="eastAsia" w:asciiTheme="minorEastAsia" w:hAnsiTheme="minorEastAsia" w:cstheme="minorEastAsia"/>
          <w:sz w:val="21"/>
          <w:szCs w:val="21"/>
          <w:lang w:val="en-US" w:eastAsia="zh-CN"/>
        </w:rPr>
        <w:t>购买充电桩公众责任险等</w:t>
      </w:r>
      <w:r>
        <w:rPr>
          <w:rFonts w:hint="eastAsia" w:asciiTheme="minorEastAsia" w:hAnsiTheme="minorEastAsia" w:cstheme="minorEastAsia"/>
          <w:sz w:val="21"/>
          <w:szCs w:val="21"/>
        </w:rPr>
        <w:t>确保充电服务安全。因乙方未能履行安全生产管理责任导致行政机关处罚或第三方损失的，由乙方承担一切法律责任。由此造成甲方产生任何损失或导致行政机关处罚的，亦由乙方承担赔偿责任。</w:t>
      </w:r>
    </w:p>
    <w:p>
      <w:pPr>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cstheme="minorEastAsia"/>
          <w:sz w:val="21"/>
          <w:szCs w:val="21"/>
        </w:rPr>
      </w:pPr>
      <w:r>
        <w:rPr>
          <w:rFonts w:hint="eastAsia" w:asciiTheme="minorEastAsia" w:hAnsiTheme="minorEastAsia" w:cstheme="minorEastAsia"/>
          <w:sz w:val="21"/>
          <w:szCs w:val="21"/>
          <w:lang w:val="en-US" w:eastAsia="zh-CN"/>
        </w:rPr>
        <w:t>8</w:t>
      </w:r>
      <w:r>
        <w:rPr>
          <w:rFonts w:hint="eastAsia" w:asciiTheme="minorEastAsia" w:hAnsiTheme="minorEastAsia" w:cstheme="minorEastAsia"/>
          <w:sz w:val="21"/>
          <w:szCs w:val="21"/>
        </w:rPr>
        <w:t>.乙方在合作场地的消防和用电安全，应遵照甲方相关的管理制度执行。</w:t>
      </w:r>
    </w:p>
    <w:p>
      <w:pPr>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cstheme="minorEastAsia"/>
          <w:sz w:val="21"/>
          <w:szCs w:val="21"/>
        </w:rPr>
      </w:pPr>
      <w:r>
        <w:rPr>
          <w:rFonts w:hint="eastAsia" w:asciiTheme="minorEastAsia" w:hAnsiTheme="minorEastAsia" w:cstheme="minorEastAsia"/>
          <w:sz w:val="21"/>
          <w:szCs w:val="21"/>
          <w:lang w:val="en-US" w:eastAsia="zh-CN"/>
        </w:rPr>
        <w:t>9</w:t>
      </w:r>
      <w:r>
        <w:rPr>
          <w:rFonts w:hint="eastAsia" w:asciiTheme="minorEastAsia" w:hAnsiTheme="minorEastAsia" w:cstheme="minorEastAsia"/>
          <w:sz w:val="21"/>
          <w:szCs w:val="21"/>
        </w:rPr>
        <w:t>.按深圳市标准化指导性技术文件《电动汽车充电站运营服务规范》配备安全员维持充电秩序、处理异常情况等。</w:t>
      </w:r>
    </w:p>
    <w:p>
      <w:pPr>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10</w:t>
      </w:r>
      <w:r>
        <w:rPr>
          <w:rFonts w:hint="eastAsia" w:asciiTheme="minorEastAsia" w:hAnsiTheme="minorEastAsia" w:cstheme="minorEastAsia"/>
          <w:sz w:val="21"/>
          <w:szCs w:val="21"/>
        </w:rPr>
        <w:t>.乙方为甲方提供详实的充电数据明细、后台电脑查询系统</w:t>
      </w:r>
      <w:r>
        <w:rPr>
          <w:rFonts w:hint="eastAsia" w:asciiTheme="minorEastAsia" w:hAnsiTheme="minorEastAsia" w:cstheme="minorEastAsia"/>
          <w:sz w:val="21"/>
          <w:szCs w:val="21"/>
          <w:lang w:eastAsia="zh-CN"/>
        </w:rPr>
        <w:t>，如乙方</w:t>
      </w:r>
      <w:r>
        <w:rPr>
          <w:rFonts w:hint="eastAsia" w:asciiTheme="minorEastAsia" w:hAnsiTheme="minorEastAsia" w:cstheme="minorEastAsia"/>
          <w:sz w:val="21"/>
          <w:szCs w:val="21"/>
          <w:lang w:val="en-US" w:eastAsia="zh-CN"/>
        </w:rPr>
        <w:t>每个</w:t>
      </w:r>
      <w:r>
        <w:rPr>
          <w:rFonts w:hint="eastAsia" w:asciiTheme="minorEastAsia" w:hAnsiTheme="minorEastAsia" w:cstheme="minorEastAsia"/>
          <w:sz w:val="21"/>
          <w:szCs w:val="21"/>
          <w:lang w:eastAsia="zh-CN"/>
        </w:rPr>
        <w:t>结算周期的充电服务费分成结算表</w:t>
      </w:r>
      <w:r>
        <w:rPr>
          <w:rFonts w:hint="eastAsia" w:asciiTheme="minorEastAsia" w:hAnsiTheme="minorEastAsia" w:cstheme="minorEastAsia"/>
          <w:sz w:val="21"/>
          <w:szCs w:val="21"/>
          <w:lang w:val="en-US" w:eastAsia="zh-CN"/>
        </w:rPr>
        <w:t>等存在</w:t>
      </w:r>
      <w:r>
        <w:rPr>
          <w:rFonts w:hint="eastAsia" w:asciiTheme="minorEastAsia" w:hAnsiTheme="minorEastAsia" w:cstheme="minorEastAsia"/>
          <w:sz w:val="21"/>
          <w:szCs w:val="21"/>
          <w:lang w:eastAsia="zh-CN"/>
        </w:rPr>
        <w:t>瞒报、漏报、少报达到实际</w:t>
      </w:r>
      <w:r>
        <w:rPr>
          <w:rFonts w:hint="eastAsia" w:asciiTheme="minorEastAsia" w:hAnsiTheme="minorEastAsia" w:cstheme="minorEastAsia"/>
          <w:sz w:val="21"/>
          <w:szCs w:val="21"/>
          <w:lang w:val="en-US" w:eastAsia="zh-CN"/>
        </w:rPr>
        <w:t>充电服务费金额</w:t>
      </w:r>
      <w:r>
        <w:rPr>
          <w:rFonts w:hint="eastAsia" w:asciiTheme="minorEastAsia" w:hAnsiTheme="minorEastAsia" w:cstheme="minorEastAsia"/>
          <w:sz w:val="21"/>
          <w:szCs w:val="21"/>
          <w:lang w:eastAsia="zh-CN"/>
        </w:rPr>
        <w:t>的【</w:t>
      </w:r>
      <w:r>
        <w:rPr>
          <w:rFonts w:hint="eastAsia" w:asciiTheme="minorEastAsia" w:hAnsiTheme="minorEastAsia" w:cstheme="minorEastAsia"/>
          <w:sz w:val="21"/>
          <w:szCs w:val="21"/>
          <w:lang w:val="en-US" w:eastAsia="zh-CN"/>
        </w:rPr>
        <w:t>10</w:t>
      </w:r>
      <w:r>
        <w:rPr>
          <w:rFonts w:hint="eastAsia" w:asciiTheme="minorEastAsia" w:hAnsiTheme="minorEastAsia" w:cstheme="minorEastAsia"/>
          <w:sz w:val="21"/>
          <w:szCs w:val="21"/>
          <w:lang w:eastAsia="zh-CN"/>
        </w:rPr>
        <w:t>】%以上（含）</w:t>
      </w:r>
      <w:r>
        <w:rPr>
          <w:rFonts w:hint="eastAsia" w:asciiTheme="minorEastAsia" w:hAnsiTheme="minorEastAsia" w:cstheme="minorEastAsia"/>
          <w:sz w:val="21"/>
          <w:szCs w:val="21"/>
          <w:lang w:val="en-US" w:eastAsia="zh-CN"/>
        </w:rPr>
        <w:t>和/或者</w:t>
      </w:r>
      <w:r>
        <w:rPr>
          <w:rFonts w:hint="eastAsia" w:asciiTheme="minorEastAsia" w:hAnsiTheme="minorEastAsia" w:cstheme="minorEastAsia"/>
          <w:sz w:val="21"/>
          <w:szCs w:val="21"/>
          <w:lang w:eastAsia="zh-CN"/>
        </w:rPr>
        <w:t>达到【</w:t>
      </w:r>
      <w:r>
        <w:rPr>
          <w:rFonts w:hint="eastAsia" w:asciiTheme="minorEastAsia" w:hAnsiTheme="minorEastAsia" w:cstheme="minorEastAsia"/>
          <w:sz w:val="21"/>
          <w:szCs w:val="21"/>
          <w:lang w:val="en-US" w:eastAsia="zh-CN"/>
        </w:rPr>
        <w:t>3</w:t>
      </w:r>
      <w:r>
        <w:rPr>
          <w:rFonts w:hint="eastAsia" w:asciiTheme="minorEastAsia" w:hAnsiTheme="minorEastAsia" w:cstheme="minorEastAsia"/>
          <w:sz w:val="21"/>
          <w:szCs w:val="21"/>
          <w:lang w:eastAsia="zh-CN"/>
        </w:rPr>
        <w:t>】</w:t>
      </w:r>
      <w:r>
        <w:rPr>
          <w:rFonts w:hint="eastAsia" w:asciiTheme="minorEastAsia" w:hAnsiTheme="minorEastAsia" w:cstheme="minorEastAsia"/>
          <w:sz w:val="21"/>
          <w:szCs w:val="21"/>
          <w:lang w:val="en-US" w:eastAsia="zh-CN"/>
        </w:rPr>
        <w:t>次</w:t>
      </w:r>
      <w:r>
        <w:rPr>
          <w:rFonts w:hint="eastAsia" w:asciiTheme="minorEastAsia" w:hAnsiTheme="minorEastAsia" w:cstheme="minorEastAsia"/>
          <w:sz w:val="21"/>
          <w:szCs w:val="21"/>
          <w:lang w:eastAsia="zh-CN"/>
        </w:rPr>
        <w:t>以上（含），甲方有权要求乙方赔偿各项损失，并有权解除本</w:t>
      </w:r>
      <w:r>
        <w:rPr>
          <w:rFonts w:hint="eastAsia" w:asciiTheme="minorEastAsia" w:hAnsiTheme="minorEastAsia" w:cstheme="minorEastAsia"/>
          <w:sz w:val="21"/>
          <w:szCs w:val="21"/>
          <w:lang w:val="en-US" w:eastAsia="zh-CN"/>
        </w:rPr>
        <w:t>协议</w:t>
      </w:r>
      <w:r>
        <w:rPr>
          <w:rFonts w:hint="eastAsia" w:asciiTheme="minorEastAsia" w:hAnsiTheme="minorEastAsia" w:cstheme="minorEastAsia"/>
          <w:sz w:val="21"/>
          <w:szCs w:val="21"/>
          <w:lang w:eastAsia="zh-CN"/>
        </w:rPr>
        <w:t>，乙方承担导致</w:t>
      </w:r>
      <w:r>
        <w:rPr>
          <w:rFonts w:hint="eastAsia" w:asciiTheme="minorEastAsia" w:hAnsiTheme="minorEastAsia" w:cstheme="minorEastAsia"/>
          <w:sz w:val="21"/>
          <w:szCs w:val="21"/>
          <w:lang w:val="en-US" w:eastAsia="zh-CN"/>
        </w:rPr>
        <w:t>本协议</w:t>
      </w:r>
      <w:r>
        <w:rPr>
          <w:rFonts w:hint="eastAsia" w:asciiTheme="minorEastAsia" w:hAnsiTheme="minorEastAsia" w:cstheme="minorEastAsia"/>
          <w:sz w:val="21"/>
          <w:szCs w:val="21"/>
          <w:lang w:eastAsia="zh-CN"/>
        </w:rPr>
        <w:t>提前</w:t>
      </w:r>
      <w:r>
        <w:rPr>
          <w:rFonts w:hint="eastAsia" w:asciiTheme="minorEastAsia" w:hAnsiTheme="minorEastAsia" w:cstheme="minorEastAsia"/>
          <w:sz w:val="21"/>
          <w:szCs w:val="21"/>
          <w:lang w:val="en-US" w:eastAsia="zh-CN"/>
        </w:rPr>
        <w:t>解除</w:t>
      </w:r>
      <w:r>
        <w:rPr>
          <w:rFonts w:hint="eastAsia" w:asciiTheme="minorEastAsia" w:hAnsiTheme="minorEastAsia" w:cstheme="minorEastAsia"/>
          <w:sz w:val="21"/>
          <w:szCs w:val="21"/>
          <w:lang w:eastAsia="zh-CN"/>
        </w:rPr>
        <w:t>的违约责任</w:t>
      </w:r>
      <w:r>
        <w:rPr>
          <w:rFonts w:hint="eastAsia" w:asciiTheme="minorEastAsia" w:hAnsiTheme="minorEastAsia" w:cstheme="minorEastAsia"/>
          <w:sz w:val="21"/>
          <w:szCs w:val="21"/>
        </w:rPr>
        <w:t>。</w:t>
      </w:r>
    </w:p>
    <w:p>
      <w:pPr>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cstheme="minorEastAsia"/>
          <w:sz w:val="21"/>
          <w:szCs w:val="21"/>
        </w:rPr>
      </w:pPr>
      <w:r>
        <w:rPr>
          <w:rFonts w:hint="eastAsia" w:asciiTheme="minorEastAsia" w:hAnsiTheme="minorEastAsia" w:cstheme="minorEastAsia"/>
          <w:sz w:val="21"/>
          <w:szCs w:val="21"/>
          <w:lang w:val="en-US" w:eastAsia="zh-CN"/>
        </w:rPr>
        <w:t>11</w:t>
      </w:r>
      <w:r>
        <w:rPr>
          <w:rFonts w:hint="eastAsia" w:asciiTheme="minorEastAsia" w:hAnsiTheme="minorEastAsia" w:cstheme="minorEastAsia"/>
          <w:sz w:val="21"/>
          <w:szCs w:val="21"/>
        </w:rPr>
        <w:t>.乙方保证合法经营，合理定价，严格按照国家、深圳市相关标准收取充电费用。如因乙方无资质、超越资质提供充电服务</w:t>
      </w:r>
      <w:r>
        <w:rPr>
          <w:rFonts w:hint="eastAsia" w:asciiTheme="minorEastAsia" w:hAnsiTheme="minorEastAsia" w:cstheme="minorEastAsia"/>
          <w:sz w:val="21"/>
          <w:szCs w:val="21"/>
          <w:lang w:eastAsia="zh-CN"/>
        </w:rPr>
        <w:t>、</w:t>
      </w:r>
      <w:r>
        <w:rPr>
          <w:rFonts w:hint="eastAsia" w:asciiTheme="minorEastAsia" w:hAnsiTheme="minorEastAsia" w:cstheme="minorEastAsia"/>
          <w:sz w:val="21"/>
          <w:szCs w:val="21"/>
          <w:lang w:val="en-US" w:eastAsia="zh-CN"/>
        </w:rPr>
        <w:t>随意调价、超标准收费</w:t>
      </w:r>
      <w:r>
        <w:rPr>
          <w:rFonts w:hint="eastAsia" w:asciiTheme="minorEastAsia" w:hAnsiTheme="minorEastAsia" w:cstheme="minorEastAsia"/>
          <w:sz w:val="21"/>
          <w:szCs w:val="21"/>
        </w:rPr>
        <w:t>产生的客户纠纷、安全事故等，均由乙方自行承担所有赔偿责任。如甲方因此先行承担责任的，甲方有权向乙方</w:t>
      </w:r>
      <w:r>
        <w:rPr>
          <w:rFonts w:hint="eastAsia" w:asciiTheme="minorEastAsia" w:hAnsiTheme="minorEastAsia" w:cstheme="minorEastAsia"/>
          <w:sz w:val="21"/>
          <w:szCs w:val="21"/>
          <w:lang w:val="en-US" w:eastAsia="zh-CN"/>
        </w:rPr>
        <w:t>全部</w:t>
      </w:r>
      <w:r>
        <w:rPr>
          <w:rFonts w:hint="eastAsia" w:asciiTheme="minorEastAsia" w:hAnsiTheme="minorEastAsia" w:cstheme="minorEastAsia"/>
          <w:sz w:val="21"/>
          <w:szCs w:val="21"/>
        </w:rPr>
        <w:t>追偿。</w:t>
      </w:r>
    </w:p>
    <w:p>
      <w:pPr>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cstheme="minorEastAsia"/>
          <w:sz w:val="21"/>
          <w:szCs w:val="21"/>
        </w:rPr>
      </w:pPr>
      <w:r>
        <w:rPr>
          <w:rFonts w:hint="eastAsia" w:asciiTheme="minorEastAsia" w:hAnsiTheme="minorEastAsia" w:cstheme="minorEastAsia"/>
          <w:sz w:val="21"/>
          <w:szCs w:val="21"/>
        </w:rPr>
        <w:t>1</w:t>
      </w:r>
      <w:r>
        <w:rPr>
          <w:rFonts w:hint="eastAsia" w:asciiTheme="minorEastAsia" w:hAnsiTheme="minorEastAsia" w:cstheme="minorEastAsia"/>
          <w:sz w:val="21"/>
          <w:szCs w:val="21"/>
          <w:lang w:val="en-US" w:eastAsia="zh-CN"/>
        </w:rPr>
        <w:t>2</w:t>
      </w:r>
      <w:r>
        <w:rPr>
          <w:rFonts w:hint="eastAsia" w:asciiTheme="minorEastAsia" w:hAnsiTheme="minorEastAsia" w:cstheme="minorEastAsia"/>
          <w:sz w:val="21"/>
          <w:szCs w:val="21"/>
        </w:rPr>
        <w:t>.乙方在合作</w:t>
      </w:r>
      <w:r>
        <w:rPr>
          <w:rFonts w:hint="eastAsia" w:asciiTheme="minorEastAsia" w:hAnsiTheme="minorEastAsia" w:cstheme="minorEastAsia"/>
          <w:sz w:val="21"/>
          <w:szCs w:val="21"/>
          <w:lang w:val="en-US" w:eastAsia="zh-CN"/>
        </w:rPr>
        <w:t>场地</w:t>
      </w:r>
      <w:r>
        <w:rPr>
          <w:rFonts w:hint="eastAsia" w:asciiTheme="minorEastAsia" w:hAnsiTheme="minorEastAsia" w:cstheme="minorEastAsia"/>
          <w:sz w:val="21"/>
          <w:szCs w:val="21"/>
        </w:rPr>
        <w:t>内的相关运营工作和活动，必须服从甲方</w:t>
      </w:r>
      <w:r>
        <w:rPr>
          <w:rFonts w:hint="eastAsia" w:asciiTheme="minorEastAsia" w:hAnsiTheme="minorEastAsia" w:cstheme="minorEastAsia"/>
          <w:sz w:val="21"/>
          <w:szCs w:val="21"/>
          <w:lang w:val="en-US" w:eastAsia="zh-CN"/>
        </w:rPr>
        <w:t>及业主、物业管理单位</w:t>
      </w:r>
      <w:r>
        <w:rPr>
          <w:rFonts w:hint="eastAsia" w:asciiTheme="minorEastAsia" w:hAnsiTheme="minorEastAsia" w:cstheme="minorEastAsia"/>
          <w:sz w:val="21"/>
          <w:szCs w:val="21"/>
        </w:rPr>
        <w:t>的相关管理规定。</w:t>
      </w:r>
    </w:p>
    <w:p>
      <w:pPr>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cstheme="minorEastAsia"/>
          <w:sz w:val="21"/>
          <w:szCs w:val="21"/>
        </w:rPr>
      </w:pPr>
      <w:r>
        <w:rPr>
          <w:rFonts w:hint="eastAsia" w:asciiTheme="minorEastAsia" w:hAnsiTheme="minorEastAsia" w:cstheme="minorEastAsia"/>
          <w:sz w:val="21"/>
          <w:szCs w:val="21"/>
        </w:rPr>
        <w:t>1</w:t>
      </w:r>
      <w:r>
        <w:rPr>
          <w:rFonts w:hint="eastAsia" w:asciiTheme="minorEastAsia" w:hAnsiTheme="minorEastAsia" w:cstheme="minorEastAsia"/>
          <w:sz w:val="21"/>
          <w:szCs w:val="21"/>
          <w:lang w:val="en-US" w:eastAsia="zh-CN"/>
        </w:rPr>
        <w:t>3</w:t>
      </w:r>
      <w:r>
        <w:rPr>
          <w:rFonts w:hint="eastAsia" w:asciiTheme="minorEastAsia" w:hAnsiTheme="minorEastAsia" w:cstheme="minorEastAsia"/>
          <w:sz w:val="21"/>
          <w:szCs w:val="21"/>
        </w:rPr>
        <w:t>.乙方享有充电桩充电运营收入外的充电设备箱体广告收益，另如需在甲方区域进行其它经营活动（停车运营、充电桩运营除外），需事先取得甲方书面同意。</w:t>
      </w:r>
    </w:p>
    <w:p>
      <w:pPr>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cstheme="minorEastAsia"/>
          <w:sz w:val="21"/>
          <w:szCs w:val="21"/>
        </w:rPr>
      </w:pPr>
      <w:r>
        <w:rPr>
          <w:rFonts w:hint="eastAsia" w:asciiTheme="minorEastAsia" w:hAnsiTheme="minorEastAsia" w:cstheme="minorEastAsia"/>
          <w:sz w:val="21"/>
          <w:szCs w:val="21"/>
        </w:rPr>
        <w:t>1</w:t>
      </w:r>
      <w:r>
        <w:rPr>
          <w:rFonts w:hint="eastAsia" w:asciiTheme="minorEastAsia" w:hAnsiTheme="minorEastAsia" w:cstheme="minorEastAsia"/>
          <w:sz w:val="21"/>
          <w:szCs w:val="21"/>
          <w:lang w:val="en-US" w:eastAsia="zh-CN"/>
        </w:rPr>
        <w:t>4</w:t>
      </w:r>
      <w:r>
        <w:rPr>
          <w:rFonts w:hint="eastAsia" w:asciiTheme="minorEastAsia" w:hAnsiTheme="minorEastAsia" w:cstheme="minorEastAsia"/>
          <w:sz w:val="21"/>
          <w:szCs w:val="21"/>
        </w:rPr>
        <w:t>.在事先取得甲方书面许可并符合市场合理价格的前提下，乙方可参考市场标准更新优化充电桩设备。</w:t>
      </w:r>
    </w:p>
    <w:p>
      <w:pPr>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15.乙方因充电平台升级等原因，需要关闭部分或全部充电桩的，应以书面的形式告知甲方，待甲方同意后方可实施。不得无故或以经营亏损为由关闭部分或全部充电桩，由此导致用户无法正常使用而引起投诉等负面影响的，甲方有权单方面解除合同，并限期乙方撤场，由此导致的损失、纠纷等全部由乙方承担。</w:t>
      </w:r>
    </w:p>
    <w:p>
      <w:pPr>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16.如合作期限届满终止</w:t>
      </w:r>
      <w:r>
        <w:rPr>
          <w:rFonts w:hint="eastAsia" w:asciiTheme="minorEastAsia" w:hAnsiTheme="minorEastAsia" w:cstheme="minorEastAsia"/>
          <w:sz w:val="21"/>
          <w:szCs w:val="21"/>
        </w:rPr>
        <w:t>或</w:t>
      </w:r>
      <w:r>
        <w:rPr>
          <w:rFonts w:hint="eastAsia" w:asciiTheme="minorEastAsia" w:hAnsiTheme="minorEastAsia" w:cstheme="minorEastAsia"/>
          <w:sz w:val="21"/>
          <w:szCs w:val="21"/>
          <w:lang w:val="en-US" w:eastAsia="zh-CN"/>
        </w:rPr>
        <w:t>解除</w:t>
      </w:r>
      <w:r>
        <w:rPr>
          <w:rFonts w:hint="eastAsia" w:asciiTheme="minorEastAsia" w:hAnsiTheme="minorEastAsia" w:cstheme="minorEastAsia"/>
          <w:sz w:val="21"/>
          <w:szCs w:val="21"/>
        </w:rPr>
        <w:t>（</w:t>
      </w:r>
      <w:r>
        <w:rPr>
          <w:rFonts w:hint="eastAsia" w:asciiTheme="minorEastAsia" w:hAnsiTheme="minorEastAsia" w:cstheme="minorEastAsia"/>
          <w:sz w:val="21"/>
          <w:szCs w:val="21"/>
          <w:lang w:val="en-US" w:eastAsia="zh-CN"/>
        </w:rPr>
        <w:t>含提前解除），乙方应于【15】日内完成充电桩相关设备拆除工作，否则视为乙方放弃相关设备所有权，甲方有权自行处置，因此产生的费用及损失等责任均由乙方承担。</w:t>
      </w:r>
    </w:p>
    <w:p>
      <w:pPr>
        <w:pageBreakBefore w:val="0"/>
        <w:widowControl w:val="0"/>
        <w:kinsoku/>
        <w:wordWrap/>
        <w:overflowPunct/>
        <w:topLinePunct w:val="0"/>
        <w:autoSpaceDE/>
        <w:autoSpaceDN/>
        <w:bidi w:val="0"/>
        <w:adjustRightInd/>
        <w:snapToGrid/>
        <w:spacing w:line="500" w:lineRule="exact"/>
        <w:ind w:firstLine="422" w:firstLineChars="200"/>
        <w:textAlignment w:val="auto"/>
        <w:outlineLvl w:val="0"/>
        <w:rPr>
          <w:rFonts w:hint="eastAsia" w:asciiTheme="minorEastAsia" w:hAnsiTheme="minorEastAsia" w:cstheme="minorEastAsia"/>
          <w:b/>
          <w:bCs/>
          <w:sz w:val="21"/>
          <w:szCs w:val="21"/>
        </w:rPr>
      </w:pPr>
      <w:bookmarkStart w:id="75" w:name="_Toc27944"/>
      <w:bookmarkStart w:id="76" w:name="_Toc3848"/>
      <w:r>
        <w:rPr>
          <w:rFonts w:hint="eastAsia" w:asciiTheme="minorEastAsia" w:hAnsiTheme="minorEastAsia" w:cstheme="minorEastAsia"/>
          <w:b/>
          <w:bCs/>
          <w:sz w:val="21"/>
          <w:szCs w:val="21"/>
        </w:rPr>
        <w:t>八、保密及违约</w:t>
      </w:r>
      <w:bookmarkEnd w:id="75"/>
      <w:bookmarkEnd w:id="76"/>
    </w:p>
    <w:p>
      <w:pPr>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cstheme="minorEastAsia"/>
          <w:sz w:val="21"/>
          <w:szCs w:val="21"/>
        </w:rPr>
      </w:pPr>
      <w:r>
        <w:rPr>
          <w:rFonts w:hint="eastAsia" w:asciiTheme="minorEastAsia" w:hAnsiTheme="minorEastAsia" w:cstheme="minorEastAsia"/>
          <w:sz w:val="21"/>
          <w:szCs w:val="21"/>
        </w:rPr>
        <w:t>（一）甲乙双方对本协议内容，以及与本协议相关且须保密的事项，均承担保密义务，未经对方同意，任意一方不得对外泄露。</w:t>
      </w:r>
    </w:p>
    <w:p>
      <w:pPr>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cstheme="minorEastAsia"/>
          <w:sz w:val="21"/>
          <w:szCs w:val="21"/>
        </w:rPr>
      </w:pPr>
      <w:r>
        <w:rPr>
          <w:rFonts w:hint="eastAsia" w:asciiTheme="minorEastAsia" w:hAnsiTheme="minorEastAsia" w:cstheme="minorEastAsia"/>
          <w:sz w:val="21"/>
          <w:szCs w:val="21"/>
        </w:rPr>
        <w:t>（二）任何一方违反本协议，应赔偿守约方因此遭受的直接损失。任何一方违约超过30日，且守约方书面催告后仍未履行的，守约方有权解除本合同。</w:t>
      </w:r>
    </w:p>
    <w:p>
      <w:pPr>
        <w:pageBreakBefore w:val="0"/>
        <w:widowControl w:val="0"/>
        <w:kinsoku/>
        <w:wordWrap/>
        <w:overflowPunct/>
        <w:topLinePunct w:val="0"/>
        <w:autoSpaceDE/>
        <w:autoSpaceDN/>
        <w:bidi w:val="0"/>
        <w:adjustRightInd/>
        <w:snapToGrid/>
        <w:spacing w:line="500" w:lineRule="exact"/>
        <w:ind w:firstLine="420" w:firstLineChars="200"/>
        <w:textAlignment w:val="auto"/>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eastAsia="zh-CN"/>
        </w:rPr>
        <w:t>（</w:t>
      </w:r>
      <w:r>
        <w:rPr>
          <w:rFonts w:hint="eastAsia" w:asciiTheme="minorEastAsia" w:hAnsiTheme="minorEastAsia" w:cstheme="minorEastAsia"/>
          <w:sz w:val="21"/>
          <w:szCs w:val="21"/>
          <w:lang w:val="en-US" w:eastAsia="zh-CN"/>
        </w:rPr>
        <w:t>三</w:t>
      </w:r>
      <w:r>
        <w:rPr>
          <w:rFonts w:hint="eastAsia" w:asciiTheme="minorEastAsia" w:hAnsiTheme="minorEastAsia" w:cstheme="minorEastAsia"/>
          <w:sz w:val="21"/>
          <w:szCs w:val="21"/>
          <w:lang w:eastAsia="zh-CN"/>
        </w:rPr>
        <w:t>）乙方应按照</w:t>
      </w:r>
      <w:r>
        <w:rPr>
          <w:rFonts w:hint="eastAsia" w:asciiTheme="minorEastAsia" w:hAnsiTheme="minorEastAsia" w:cstheme="minorEastAsia"/>
          <w:sz w:val="21"/>
          <w:szCs w:val="21"/>
          <w:lang w:val="en-US" w:eastAsia="zh-CN"/>
        </w:rPr>
        <w:t>本协议</w:t>
      </w:r>
      <w:r>
        <w:rPr>
          <w:rFonts w:hint="eastAsia" w:asciiTheme="minorEastAsia" w:hAnsiTheme="minorEastAsia" w:cstheme="minorEastAsia"/>
          <w:sz w:val="21"/>
          <w:szCs w:val="21"/>
          <w:lang w:eastAsia="zh-CN"/>
        </w:rPr>
        <w:t>约定向甲方按期足额支付</w:t>
      </w:r>
      <w:r>
        <w:rPr>
          <w:rFonts w:hint="eastAsia" w:asciiTheme="minorEastAsia" w:hAnsiTheme="minorEastAsia" w:cstheme="minorEastAsia"/>
          <w:sz w:val="21"/>
          <w:szCs w:val="21"/>
          <w:lang w:val="en-US" w:eastAsia="zh-CN"/>
        </w:rPr>
        <w:t>充电电费、充电服务费等费用</w:t>
      </w:r>
      <w:r>
        <w:rPr>
          <w:rFonts w:hint="eastAsia" w:asciiTheme="minorEastAsia" w:hAnsiTheme="minorEastAsia" w:cstheme="minorEastAsia"/>
          <w:sz w:val="21"/>
          <w:szCs w:val="21"/>
          <w:lang w:eastAsia="zh-CN"/>
        </w:rPr>
        <w:t>，若乙方逾期未支付，则</w:t>
      </w:r>
      <w:r>
        <w:rPr>
          <w:rFonts w:hint="eastAsia" w:asciiTheme="minorEastAsia" w:hAnsiTheme="minorEastAsia" w:cstheme="minorEastAsia"/>
          <w:sz w:val="21"/>
          <w:szCs w:val="21"/>
          <w:lang w:val="en-US" w:eastAsia="zh-CN"/>
        </w:rPr>
        <w:t>乙方应按本协议约定标准</w:t>
      </w:r>
      <w:r>
        <w:rPr>
          <w:rFonts w:hint="eastAsia" w:asciiTheme="minorEastAsia" w:hAnsiTheme="minorEastAsia" w:cstheme="minorEastAsia"/>
          <w:sz w:val="21"/>
          <w:szCs w:val="21"/>
          <w:lang w:eastAsia="zh-CN"/>
        </w:rPr>
        <w:t>向甲方</w:t>
      </w:r>
      <w:r>
        <w:rPr>
          <w:rFonts w:hint="eastAsia" w:asciiTheme="minorEastAsia" w:hAnsiTheme="minorEastAsia" w:cstheme="minorEastAsia"/>
          <w:sz w:val="21"/>
          <w:szCs w:val="21"/>
          <w:lang w:val="en-US" w:eastAsia="zh-CN"/>
        </w:rPr>
        <w:t>支付</w:t>
      </w:r>
      <w:r>
        <w:rPr>
          <w:rFonts w:hint="eastAsia" w:asciiTheme="minorEastAsia" w:hAnsiTheme="minorEastAsia" w:cstheme="minorEastAsia"/>
          <w:sz w:val="21"/>
          <w:szCs w:val="21"/>
          <w:lang w:eastAsia="zh-CN"/>
        </w:rPr>
        <w:t>逾期付款违约金。乙方逾期支付超过【</w:t>
      </w:r>
      <w:r>
        <w:rPr>
          <w:rFonts w:hint="eastAsia" w:asciiTheme="minorEastAsia" w:hAnsiTheme="minorEastAsia" w:cstheme="minorEastAsia"/>
          <w:sz w:val="21"/>
          <w:szCs w:val="21"/>
          <w:lang w:val="en-US" w:eastAsia="zh-CN"/>
        </w:rPr>
        <w:t>30</w:t>
      </w:r>
      <w:r>
        <w:rPr>
          <w:rFonts w:hint="eastAsia" w:asciiTheme="minorEastAsia" w:hAnsiTheme="minorEastAsia" w:cstheme="minorEastAsia"/>
          <w:sz w:val="21"/>
          <w:szCs w:val="21"/>
          <w:lang w:eastAsia="zh-CN"/>
        </w:rPr>
        <w:t>】日的，视为根本违约，甲方有权单方解除</w:t>
      </w:r>
      <w:r>
        <w:rPr>
          <w:rFonts w:hint="eastAsia" w:asciiTheme="minorEastAsia" w:hAnsiTheme="minorEastAsia" w:cstheme="minorEastAsia"/>
          <w:sz w:val="21"/>
          <w:szCs w:val="21"/>
          <w:lang w:val="en-US" w:eastAsia="zh-CN"/>
        </w:rPr>
        <w:t>本协议。</w:t>
      </w:r>
    </w:p>
    <w:p>
      <w:pPr>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cstheme="minorEastAsia"/>
          <w:sz w:val="21"/>
          <w:szCs w:val="21"/>
          <w:lang w:eastAsia="zh-CN"/>
        </w:rPr>
      </w:pPr>
      <w:r>
        <w:rPr>
          <w:rFonts w:hint="eastAsia" w:asciiTheme="minorEastAsia" w:hAnsiTheme="minorEastAsia" w:cstheme="minorEastAsia"/>
          <w:sz w:val="21"/>
          <w:szCs w:val="21"/>
          <w:lang w:eastAsia="zh-CN"/>
        </w:rPr>
        <w:t>（</w:t>
      </w:r>
      <w:r>
        <w:rPr>
          <w:rFonts w:hint="eastAsia" w:asciiTheme="minorEastAsia" w:hAnsiTheme="minorEastAsia" w:cstheme="minorEastAsia"/>
          <w:sz w:val="21"/>
          <w:szCs w:val="21"/>
          <w:lang w:val="en-US" w:eastAsia="zh-CN"/>
        </w:rPr>
        <w:t>四</w:t>
      </w:r>
      <w:r>
        <w:rPr>
          <w:rFonts w:hint="eastAsia" w:asciiTheme="minorEastAsia" w:hAnsiTheme="minorEastAsia" w:cstheme="minorEastAsia"/>
          <w:sz w:val="21"/>
          <w:szCs w:val="21"/>
          <w:lang w:eastAsia="zh-CN"/>
        </w:rPr>
        <w:t>）如乙方</w:t>
      </w:r>
      <w:r>
        <w:rPr>
          <w:rFonts w:hint="eastAsia" w:asciiTheme="minorEastAsia" w:hAnsiTheme="minorEastAsia" w:cstheme="minorEastAsia"/>
          <w:sz w:val="21"/>
          <w:szCs w:val="21"/>
          <w:lang w:val="en-US" w:eastAsia="zh-CN"/>
        </w:rPr>
        <w:t>充电桩设备设施等</w:t>
      </w:r>
      <w:r>
        <w:rPr>
          <w:rFonts w:hint="eastAsia" w:asciiTheme="minorEastAsia" w:hAnsiTheme="minorEastAsia" w:cstheme="minorEastAsia"/>
          <w:sz w:val="21"/>
          <w:szCs w:val="21"/>
          <w:lang w:eastAsia="zh-CN"/>
        </w:rPr>
        <w:t>不符合国家法规、政策要求，或存在安全隐患</w:t>
      </w:r>
      <w:r>
        <w:rPr>
          <w:rFonts w:hint="eastAsia" w:asciiTheme="minorEastAsia" w:hAnsiTheme="minorEastAsia" w:cstheme="minorEastAsia"/>
          <w:sz w:val="21"/>
          <w:szCs w:val="21"/>
          <w:lang w:val="en-US" w:eastAsia="zh-CN"/>
        </w:rPr>
        <w:t>等</w:t>
      </w:r>
      <w:r>
        <w:rPr>
          <w:rFonts w:hint="eastAsia" w:asciiTheme="minorEastAsia" w:hAnsiTheme="minorEastAsia" w:cstheme="minorEastAsia"/>
          <w:sz w:val="21"/>
          <w:szCs w:val="21"/>
          <w:lang w:eastAsia="zh-CN"/>
        </w:rPr>
        <w:t>，则甲方有权解除</w:t>
      </w:r>
      <w:r>
        <w:rPr>
          <w:rFonts w:hint="eastAsia" w:asciiTheme="minorEastAsia" w:hAnsiTheme="minorEastAsia" w:cstheme="minorEastAsia"/>
          <w:sz w:val="21"/>
          <w:szCs w:val="21"/>
          <w:lang w:val="en-US" w:eastAsia="zh-CN"/>
        </w:rPr>
        <w:t>本协议</w:t>
      </w:r>
      <w:r>
        <w:rPr>
          <w:rFonts w:hint="eastAsia" w:asciiTheme="minorEastAsia" w:hAnsiTheme="minorEastAsia" w:cstheme="minorEastAsia"/>
          <w:sz w:val="21"/>
          <w:szCs w:val="21"/>
          <w:lang w:eastAsia="zh-CN"/>
        </w:rPr>
        <w:t>，</w:t>
      </w:r>
      <w:r>
        <w:rPr>
          <w:rFonts w:hint="eastAsia" w:asciiTheme="minorEastAsia" w:hAnsiTheme="minorEastAsia" w:cstheme="minorEastAsia"/>
          <w:sz w:val="21"/>
          <w:szCs w:val="21"/>
          <w:lang w:val="en-US" w:eastAsia="zh-CN"/>
        </w:rPr>
        <w:t>因乙方原因导致本协议解除的，甲方有权</w:t>
      </w:r>
      <w:r>
        <w:rPr>
          <w:rFonts w:hint="eastAsia" w:asciiTheme="minorEastAsia" w:hAnsiTheme="minorEastAsia" w:cstheme="minorEastAsia"/>
          <w:sz w:val="21"/>
          <w:szCs w:val="21"/>
          <w:lang w:eastAsia="zh-CN"/>
        </w:rPr>
        <w:t>要求乙方</w:t>
      </w:r>
      <w:r>
        <w:rPr>
          <w:rFonts w:hint="eastAsia" w:asciiTheme="minorEastAsia" w:hAnsiTheme="minorEastAsia" w:cstheme="minorEastAsia"/>
          <w:sz w:val="21"/>
          <w:szCs w:val="21"/>
          <w:lang w:val="en-US" w:eastAsia="zh-CN"/>
        </w:rPr>
        <w:t>按照【5000元】</w:t>
      </w:r>
      <w:r>
        <w:rPr>
          <w:rFonts w:hint="eastAsia" w:asciiTheme="minorEastAsia" w:hAnsiTheme="minorEastAsia" w:cstheme="minorEastAsia"/>
          <w:sz w:val="21"/>
          <w:szCs w:val="21"/>
          <w:lang w:eastAsia="zh-CN"/>
        </w:rPr>
        <w:t>的</w:t>
      </w:r>
      <w:r>
        <w:rPr>
          <w:rFonts w:hint="eastAsia" w:asciiTheme="minorEastAsia" w:hAnsiTheme="minorEastAsia" w:cstheme="minorEastAsia"/>
          <w:sz w:val="21"/>
          <w:szCs w:val="21"/>
          <w:lang w:val="en-US" w:eastAsia="zh-CN"/>
        </w:rPr>
        <w:t>标准支付</w:t>
      </w:r>
      <w:r>
        <w:rPr>
          <w:rFonts w:hint="eastAsia" w:asciiTheme="minorEastAsia" w:hAnsiTheme="minorEastAsia" w:cstheme="minorEastAsia"/>
          <w:sz w:val="21"/>
          <w:szCs w:val="21"/>
          <w:lang w:eastAsia="zh-CN"/>
        </w:rPr>
        <w:t>违约金，</w:t>
      </w:r>
      <w:r>
        <w:rPr>
          <w:rFonts w:hint="eastAsia" w:asciiTheme="minorEastAsia" w:hAnsiTheme="minorEastAsia" w:cstheme="minorEastAsia"/>
          <w:sz w:val="21"/>
          <w:szCs w:val="21"/>
          <w:lang w:val="en-US" w:eastAsia="zh-CN"/>
        </w:rPr>
        <w:t>前述违约金不足以弥补甲方损失的，乙方还应另行承担补足责任</w:t>
      </w:r>
      <w:r>
        <w:rPr>
          <w:rFonts w:hint="eastAsia" w:asciiTheme="minorEastAsia" w:hAnsiTheme="minorEastAsia" w:cstheme="minorEastAsia"/>
          <w:sz w:val="21"/>
          <w:szCs w:val="21"/>
          <w:lang w:eastAsia="zh-CN"/>
        </w:rPr>
        <w:t>。</w:t>
      </w:r>
    </w:p>
    <w:p>
      <w:pPr>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cstheme="minorEastAsia"/>
          <w:b/>
          <w:bCs/>
          <w:sz w:val="21"/>
          <w:szCs w:val="21"/>
        </w:rPr>
      </w:pPr>
      <w:r>
        <w:rPr>
          <w:rFonts w:hint="eastAsia" w:asciiTheme="minorEastAsia" w:hAnsiTheme="minorEastAsia" w:cstheme="minorEastAsia"/>
          <w:sz w:val="21"/>
          <w:szCs w:val="21"/>
          <w:lang w:eastAsia="zh-CN"/>
        </w:rPr>
        <w:t>（</w:t>
      </w:r>
      <w:r>
        <w:rPr>
          <w:rFonts w:hint="eastAsia" w:asciiTheme="minorEastAsia" w:hAnsiTheme="minorEastAsia" w:cstheme="minorEastAsia"/>
          <w:sz w:val="21"/>
          <w:szCs w:val="21"/>
          <w:lang w:val="en-US" w:eastAsia="zh-CN"/>
        </w:rPr>
        <w:t>五</w:t>
      </w:r>
      <w:r>
        <w:rPr>
          <w:rFonts w:hint="eastAsia" w:asciiTheme="minorEastAsia" w:hAnsiTheme="minorEastAsia" w:cstheme="minorEastAsia"/>
          <w:sz w:val="21"/>
          <w:szCs w:val="21"/>
          <w:lang w:eastAsia="zh-CN"/>
        </w:rPr>
        <w:t>）任何一方存在严重违约，导致</w:t>
      </w:r>
      <w:r>
        <w:rPr>
          <w:rFonts w:hint="eastAsia" w:asciiTheme="minorEastAsia" w:hAnsiTheme="minorEastAsia" w:cstheme="minorEastAsia"/>
          <w:sz w:val="21"/>
          <w:szCs w:val="21"/>
          <w:lang w:val="en-US" w:eastAsia="zh-CN"/>
        </w:rPr>
        <w:t>本协议</w:t>
      </w:r>
      <w:r>
        <w:rPr>
          <w:rFonts w:hint="eastAsia" w:asciiTheme="minorEastAsia" w:hAnsiTheme="minorEastAsia" w:cstheme="minorEastAsia"/>
          <w:sz w:val="21"/>
          <w:szCs w:val="21"/>
          <w:lang w:eastAsia="zh-CN"/>
        </w:rPr>
        <w:t>无法履行或</w:t>
      </w:r>
      <w:r>
        <w:rPr>
          <w:rFonts w:hint="eastAsia" w:asciiTheme="minorEastAsia" w:hAnsiTheme="minorEastAsia" w:cstheme="minorEastAsia"/>
          <w:sz w:val="21"/>
          <w:szCs w:val="21"/>
          <w:lang w:val="en-US" w:eastAsia="zh-CN"/>
        </w:rPr>
        <w:t>本协议</w:t>
      </w:r>
      <w:r>
        <w:rPr>
          <w:rFonts w:hint="eastAsia" w:asciiTheme="minorEastAsia" w:hAnsiTheme="minorEastAsia" w:cstheme="minorEastAsia"/>
          <w:sz w:val="21"/>
          <w:szCs w:val="21"/>
          <w:lang w:eastAsia="zh-CN"/>
        </w:rPr>
        <w:t>目的无法实现的，守约方有权解除</w:t>
      </w:r>
      <w:r>
        <w:rPr>
          <w:rFonts w:hint="eastAsia" w:asciiTheme="minorEastAsia" w:hAnsiTheme="minorEastAsia" w:cstheme="minorEastAsia"/>
          <w:sz w:val="21"/>
          <w:szCs w:val="21"/>
          <w:lang w:val="en-US" w:eastAsia="zh-CN"/>
        </w:rPr>
        <w:t>本协议</w:t>
      </w:r>
      <w:r>
        <w:rPr>
          <w:rFonts w:hint="eastAsia" w:asciiTheme="minorEastAsia" w:hAnsiTheme="minorEastAsia" w:cstheme="minorEastAsia"/>
          <w:sz w:val="21"/>
          <w:szCs w:val="21"/>
          <w:lang w:eastAsia="zh-CN"/>
        </w:rPr>
        <w:t>。守约方解除</w:t>
      </w:r>
      <w:r>
        <w:rPr>
          <w:rFonts w:hint="eastAsia" w:asciiTheme="minorEastAsia" w:hAnsiTheme="minorEastAsia" w:cstheme="minorEastAsia"/>
          <w:sz w:val="21"/>
          <w:szCs w:val="21"/>
          <w:lang w:val="en-US" w:eastAsia="zh-CN"/>
        </w:rPr>
        <w:t>本协议的</w:t>
      </w:r>
      <w:r>
        <w:rPr>
          <w:rFonts w:hint="eastAsia" w:asciiTheme="minorEastAsia" w:hAnsiTheme="minorEastAsia" w:cstheme="minorEastAsia"/>
          <w:sz w:val="21"/>
          <w:szCs w:val="21"/>
          <w:lang w:eastAsia="zh-CN"/>
        </w:rPr>
        <w:t>，不影响其要求违约方承担损害赔偿的权利。</w:t>
      </w:r>
    </w:p>
    <w:p>
      <w:pPr>
        <w:pageBreakBefore w:val="0"/>
        <w:widowControl w:val="0"/>
        <w:numPr>
          <w:ilvl w:val="0"/>
          <w:numId w:val="1"/>
        </w:numPr>
        <w:kinsoku/>
        <w:wordWrap/>
        <w:overflowPunct/>
        <w:topLinePunct w:val="0"/>
        <w:autoSpaceDE/>
        <w:autoSpaceDN/>
        <w:bidi w:val="0"/>
        <w:adjustRightInd/>
        <w:snapToGrid/>
        <w:spacing w:line="500" w:lineRule="exact"/>
        <w:ind w:firstLine="422" w:firstLineChars="200"/>
        <w:textAlignment w:val="auto"/>
        <w:outlineLvl w:val="0"/>
        <w:rPr>
          <w:rFonts w:hint="eastAsia" w:asciiTheme="minorEastAsia" w:hAnsiTheme="minorEastAsia" w:cstheme="minorEastAsia"/>
          <w:b/>
          <w:bCs/>
          <w:sz w:val="21"/>
          <w:szCs w:val="21"/>
          <w:lang w:val="en-US" w:eastAsia="zh-CN"/>
        </w:rPr>
      </w:pPr>
      <w:bookmarkStart w:id="77" w:name="_Toc2030"/>
      <w:bookmarkStart w:id="78" w:name="_Toc25012"/>
      <w:r>
        <w:rPr>
          <w:rFonts w:hint="eastAsia" w:asciiTheme="minorEastAsia" w:hAnsiTheme="minorEastAsia" w:cstheme="minorEastAsia"/>
          <w:b/>
          <w:bCs/>
          <w:sz w:val="21"/>
          <w:szCs w:val="21"/>
          <w:lang w:val="en-US" w:eastAsia="zh-CN"/>
        </w:rPr>
        <w:t>通知条款</w:t>
      </w:r>
      <w:bookmarkEnd w:id="77"/>
      <w:bookmarkEnd w:id="78"/>
    </w:p>
    <w:p>
      <w:pPr>
        <w:pageBreakBefore w:val="0"/>
        <w:widowControl w:val="0"/>
        <w:numPr>
          <w:ilvl w:val="-1"/>
          <w:numId w:val="0"/>
        </w:numPr>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（一）为更好的履行本协议，双方提供如下联系方式：</w:t>
      </w:r>
    </w:p>
    <w:p>
      <w:pPr>
        <w:pageBreakBefore w:val="0"/>
        <w:widowControl w:val="0"/>
        <w:numPr>
          <w:ilvl w:val="-1"/>
          <w:numId w:val="0"/>
        </w:numPr>
        <w:kinsoku/>
        <w:wordWrap/>
        <w:overflowPunct/>
        <w:topLinePunct w:val="0"/>
        <w:autoSpaceDE/>
        <w:autoSpaceDN/>
        <w:bidi w:val="0"/>
        <w:adjustRightInd/>
        <w:snapToGrid/>
        <w:spacing w:line="500" w:lineRule="exact"/>
        <w:ind w:firstLine="420" w:firstLineChars="200"/>
        <w:textAlignment w:val="auto"/>
        <w:outlineLvl w:val="1"/>
        <w:rPr>
          <w:rFonts w:hint="default" w:asciiTheme="minorEastAsia" w:hAnsiTheme="minorEastAsia" w:cstheme="minorEastAsia"/>
          <w:b w:val="0"/>
          <w:bCs w:val="0"/>
          <w:sz w:val="21"/>
          <w:szCs w:val="21"/>
          <w:lang w:val="en-US" w:eastAsia="zh-CN"/>
        </w:rPr>
      </w:pPr>
      <w:bookmarkStart w:id="79" w:name="_Toc16472"/>
      <w:bookmarkStart w:id="80" w:name="_Toc11968"/>
      <w:r>
        <w:rPr>
          <w:rFonts w:hint="eastAsia" w:asciiTheme="minorEastAsia" w:hAnsiTheme="minorEastAsia" w:cstheme="minorEastAsia"/>
          <w:b w:val="0"/>
          <w:bCs w:val="0"/>
          <w:sz w:val="21"/>
          <w:szCs w:val="21"/>
          <w:lang w:val="en-US" w:eastAsia="zh-CN"/>
        </w:rPr>
        <w:t>1.</w:t>
      </w:r>
      <w:r>
        <w:rPr>
          <w:rFonts w:hint="default" w:asciiTheme="minorEastAsia" w:hAnsiTheme="minorEastAsia" w:cstheme="minorEastAsia"/>
          <w:b w:val="0"/>
          <w:bCs w:val="0"/>
          <w:sz w:val="21"/>
          <w:szCs w:val="21"/>
          <w:lang w:val="en-US" w:eastAsia="zh-CN"/>
        </w:rPr>
        <w:t>甲方联系方式</w:t>
      </w:r>
      <w:bookmarkEnd w:id="79"/>
      <w:bookmarkEnd w:id="80"/>
    </w:p>
    <w:p>
      <w:pPr>
        <w:pageBreakBefore w:val="0"/>
        <w:widowControl w:val="0"/>
        <w:numPr>
          <w:ilvl w:val="-1"/>
          <w:numId w:val="0"/>
        </w:numPr>
        <w:kinsoku/>
        <w:wordWrap/>
        <w:overflowPunct/>
        <w:topLinePunct w:val="0"/>
        <w:autoSpaceDE/>
        <w:autoSpaceDN/>
        <w:bidi w:val="0"/>
        <w:adjustRightInd/>
        <w:snapToGrid/>
        <w:spacing w:line="500" w:lineRule="exact"/>
        <w:ind w:firstLine="420" w:firstLineChars="200"/>
        <w:textAlignment w:val="auto"/>
        <w:rPr>
          <w:rFonts w:hint="default" w:asciiTheme="minorEastAsia" w:hAnsiTheme="minorEastAsia" w:cstheme="minorEastAsia"/>
          <w:b w:val="0"/>
          <w:bCs w:val="0"/>
          <w:sz w:val="21"/>
          <w:szCs w:val="21"/>
          <w:lang w:val="en-US" w:eastAsia="zh-CN"/>
        </w:rPr>
      </w:pPr>
      <w:r>
        <w:rPr>
          <w:rFonts w:hint="default" w:asciiTheme="minorEastAsia" w:hAnsiTheme="minorEastAsia" w:cstheme="minorEastAsia"/>
          <w:b w:val="0"/>
          <w:bCs w:val="0"/>
          <w:sz w:val="21"/>
          <w:szCs w:val="21"/>
          <w:lang w:val="en-US" w:eastAsia="zh-CN"/>
        </w:rPr>
        <w:t>邮寄地址：</w:t>
      </w:r>
      <w:r>
        <w:rPr>
          <w:rFonts w:hint="eastAsia" w:cs="仿宋_GB2312" w:asciiTheme="minorEastAsia" w:hAnsiTheme="minorEastAsia"/>
          <w:b/>
          <w:bCs/>
          <w:sz w:val="21"/>
          <w:szCs w:val="21"/>
          <w:u w:val="single"/>
        </w:rPr>
        <w:t>深圳市前海合作区</w:t>
      </w:r>
      <w:r>
        <w:rPr>
          <w:rFonts w:hint="eastAsia" w:cs="仿宋_GB2312" w:asciiTheme="minorEastAsia" w:hAnsiTheme="minorEastAsia"/>
          <w:b/>
          <w:bCs/>
          <w:sz w:val="21"/>
          <w:szCs w:val="21"/>
          <w:u w:val="single"/>
          <w:lang w:val="en-US" w:eastAsia="zh-CN"/>
        </w:rPr>
        <w:t>梦工场北区C座402、403室</w:t>
      </w:r>
      <w:r>
        <w:rPr>
          <w:rFonts w:hint="default" w:asciiTheme="minorEastAsia" w:hAnsiTheme="minorEastAsia" w:cstheme="minorEastAsia"/>
          <w:b w:val="0"/>
          <w:bCs w:val="0"/>
          <w:sz w:val="21"/>
          <w:szCs w:val="21"/>
          <w:u w:val="single"/>
          <w:lang w:val="en-US" w:eastAsia="zh-CN"/>
        </w:rPr>
        <w:t xml:space="preserve">     </w:t>
      </w:r>
      <w:r>
        <w:rPr>
          <w:rFonts w:hint="default" w:asciiTheme="minorEastAsia" w:hAnsiTheme="minorEastAsia" w:cstheme="minorEastAsia"/>
          <w:b w:val="0"/>
          <w:bCs w:val="0"/>
          <w:sz w:val="21"/>
          <w:szCs w:val="21"/>
          <w:lang w:val="en-US" w:eastAsia="zh-CN"/>
        </w:rPr>
        <w:t>      </w:t>
      </w:r>
    </w:p>
    <w:p>
      <w:pPr>
        <w:pageBreakBefore w:val="0"/>
        <w:widowControl w:val="0"/>
        <w:numPr>
          <w:ilvl w:val="-1"/>
          <w:numId w:val="0"/>
        </w:numPr>
        <w:kinsoku/>
        <w:wordWrap/>
        <w:overflowPunct/>
        <w:topLinePunct w:val="0"/>
        <w:autoSpaceDE/>
        <w:autoSpaceDN/>
        <w:bidi w:val="0"/>
        <w:adjustRightInd/>
        <w:snapToGrid/>
        <w:spacing w:line="500" w:lineRule="exact"/>
        <w:ind w:firstLine="420" w:firstLineChars="200"/>
        <w:textAlignment w:val="auto"/>
        <w:rPr>
          <w:rFonts w:hint="default" w:asciiTheme="minorEastAsia" w:hAnsiTheme="minorEastAsia" w:cstheme="minorEastAsia"/>
          <w:b w:val="0"/>
          <w:bCs w:val="0"/>
          <w:sz w:val="21"/>
          <w:szCs w:val="21"/>
          <w:lang w:val="en-US" w:eastAsia="zh-CN"/>
        </w:rPr>
      </w:pPr>
      <w:r>
        <w:rPr>
          <w:rFonts w:hint="default" w:asciiTheme="minorEastAsia" w:hAnsiTheme="minorEastAsia" w:cstheme="minorEastAsia"/>
          <w:b w:val="0"/>
          <w:bCs w:val="0"/>
          <w:sz w:val="21"/>
          <w:szCs w:val="21"/>
          <w:lang w:val="en-US" w:eastAsia="zh-CN"/>
        </w:rPr>
        <w:t>联系人：</w:t>
      </w:r>
      <w:r>
        <w:rPr>
          <w:rFonts w:hint="eastAsia" w:asciiTheme="minorEastAsia" w:hAnsiTheme="minorEastAsia" w:cstheme="minorEastAsia"/>
          <w:b w:val="0"/>
          <w:bCs w:val="0"/>
          <w:sz w:val="21"/>
          <w:szCs w:val="21"/>
          <w:u w:val="single"/>
          <w:lang w:val="en-US" w:eastAsia="zh-CN"/>
        </w:rPr>
        <w:t xml:space="preserve">                                                   </w:t>
      </w:r>
      <w:r>
        <w:rPr>
          <w:rFonts w:hint="default" w:asciiTheme="minorEastAsia" w:hAnsiTheme="minorEastAsia" w:cstheme="minorEastAsia"/>
          <w:b w:val="0"/>
          <w:bCs w:val="0"/>
          <w:sz w:val="21"/>
          <w:szCs w:val="21"/>
          <w:lang w:val="en-US" w:eastAsia="zh-CN"/>
        </w:rPr>
        <w:t xml:space="preserve">          </w:t>
      </w:r>
    </w:p>
    <w:p>
      <w:pPr>
        <w:pageBreakBefore w:val="0"/>
        <w:widowControl w:val="0"/>
        <w:numPr>
          <w:ilvl w:val="-1"/>
          <w:numId w:val="0"/>
        </w:numPr>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cstheme="minorEastAsia"/>
          <w:b w:val="0"/>
          <w:bCs w:val="0"/>
          <w:sz w:val="21"/>
          <w:szCs w:val="21"/>
          <w:u w:val="single"/>
          <w:lang w:val="en-US" w:eastAsia="zh-CN"/>
        </w:rPr>
      </w:pPr>
      <w:r>
        <w:rPr>
          <w:rFonts w:hint="default" w:asciiTheme="minorEastAsia" w:hAnsiTheme="minorEastAsia" w:cstheme="minorEastAsia"/>
          <w:b w:val="0"/>
          <w:bCs w:val="0"/>
          <w:sz w:val="21"/>
          <w:szCs w:val="21"/>
          <w:lang w:val="en-US" w:eastAsia="zh-CN"/>
        </w:rPr>
        <w:t>电话：</w:t>
      </w:r>
      <w:r>
        <w:rPr>
          <w:rFonts w:hint="eastAsia" w:asciiTheme="minorEastAsia" w:hAnsiTheme="minorEastAsia" w:cstheme="minorEastAsia"/>
          <w:b w:val="0"/>
          <w:bCs w:val="0"/>
          <w:sz w:val="21"/>
          <w:szCs w:val="21"/>
          <w:u w:val="single"/>
          <w:lang w:val="en-US" w:eastAsia="zh-CN"/>
        </w:rPr>
        <w:t xml:space="preserve">            </w:t>
      </w:r>
    </w:p>
    <w:p>
      <w:pPr>
        <w:pageBreakBefore w:val="0"/>
        <w:widowControl w:val="0"/>
        <w:numPr>
          <w:ilvl w:val="-1"/>
          <w:numId w:val="0"/>
        </w:numPr>
        <w:kinsoku/>
        <w:wordWrap/>
        <w:overflowPunct/>
        <w:topLinePunct w:val="0"/>
        <w:autoSpaceDE/>
        <w:autoSpaceDN/>
        <w:bidi w:val="0"/>
        <w:adjustRightInd/>
        <w:snapToGrid/>
        <w:spacing w:line="500" w:lineRule="exact"/>
        <w:ind w:firstLine="420" w:firstLineChars="200"/>
        <w:textAlignment w:val="auto"/>
        <w:rPr>
          <w:rFonts w:hint="default" w:asciiTheme="minorEastAsia" w:hAnsiTheme="minorEastAsia" w:cstheme="minorEastAsia"/>
          <w:b w:val="0"/>
          <w:bCs w:val="0"/>
          <w:sz w:val="21"/>
          <w:szCs w:val="21"/>
          <w:lang w:val="en-US" w:eastAsia="zh-CN"/>
        </w:rPr>
      </w:pPr>
      <w:r>
        <w:rPr>
          <w:rFonts w:hint="default" w:asciiTheme="minorEastAsia" w:hAnsiTheme="minorEastAsia" w:cstheme="minorEastAsia"/>
          <w:b w:val="0"/>
          <w:bCs w:val="0"/>
          <w:sz w:val="21"/>
          <w:szCs w:val="21"/>
          <w:lang w:val="en-US" w:eastAsia="zh-CN"/>
        </w:rPr>
        <w:t>电子邮箱：</w:t>
      </w:r>
      <w:r>
        <w:rPr>
          <w:rFonts w:hint="eastAsia" w:asciiTheme="minorEastAsia" w:hAnsiTheme="minorEastAsia" w:cstheme="minorEastAsia"/>
          <w:b w:val="0"/>
          <w:bCs w:val="0"/>
          <w:sz w:val="21"/>
          <w:szCs w:val="21"/>
          <w:u w:val="single"/>
          <w:lang w:val="en-US" w:eastAsia="zh-CN"/>
        </w:rPr>
        <w:t xml:space="preserve">              </w:t>
      </w:r>
      <w:r>
        <w:rPr>
          <w:rFonts w:hint="default" w:asciiTheme="minorEastAsia" w:hAnsiTheme="minorEastAsia" w:cstheme="minorEastAsia"/>
          <w:b w:val="0"/>
          <w:bCs w:val="0"/>
          <w:sz w:val="21"/>
          <w:szCs w:val="21"/>
          <w:lang w:val="en-US" w:eastAsia="zh-CN"/>
        </w:rPr>
        <w:t> </w:t>
      </w:r>
    </w:p>
    <w:p>
      <w:pPr>
        <w:pageBreakBefore w:val="0"/>
        <w:widowControl w:val="0"/>
        <w:numPr>
          <w:ilvl w:val="-1"/>
          <w:numId w:val="0"/>
        </w:numPr>
        <w:kinsoku/>
        <w:wordWrap/>
        <w:overflowPunct/>
        <w:topLinePunct w:val="0"/>
        <w:autoSpaceDE/>
        <w:autoSpaceDN/>
        <w:bidi w:val="0"/>
        <w:adjustRightInd/>
        <w:snapToGrid/>
        <w:spacing w:line="500" w:lineRule="exact"/>
        <w:ind w:firstLine="420" w:firstLineChars="200"/>
        <w:textAlignment w:val="auto"/>
        <w:outlineLvl w:val="1"/>
        <w:rPr>
          <w:rFonts w:hint="default" w:asciiTheme="minorEastAsia" w:hAnsiTheme="minorEastAsia" w:cstheme="minorEastAsia"/>
          <w:b w:val="0"/>
          <w:bCs w:val="0"/>
          <w:sz w:val="21"/>
          <w:szCs w:val="21"/>
          <w:lang w:val="en-US" w:eastAsia="zh-CN"/>
        </w:rPr>
      </w:pPr>
      <w:bookmarkStart w:id="81" w:name="_Toc4618"/>
      <w:bookmarkStart w:id="82" w:name="_Toc5551"/>
      <w:r>
        <w:rPr>
          <w:rFonts w:hint="eastAsia" w:asciiTheme="minorEastAsia" w:hAnsiTheme="minorEastAsia" w:cstheme="minorEastAsia"/>
          <w:b w:val="0"/>
          <w:bCs w:val="0"/>
          <w:sz w:val="21"/>
          <w:szCs w:val="21"/>
          <w:lang w:val="en-US" w:eastAsia="zh-CN"/>
        </w:rPr>
        <w:t>2.</w:t>
      </w:r>
      <w:r>
        <w:rPr>
          <w:rFonts w:hint="default" w:asciiTheme="minorEastAsia" w:hAnsiTheme="minorEastAsia" w:cstheme="minorEastAsia"/>
          <w:b w:val="0"/>
          <w:bCs w:val="0"/>
          <w:sz w:val="21"/>
          <w:szCs w:val="21"/>
          <w:lang w:val="en-US" w:eastAsia="zh-CN"/>
        </w:rPr>
        <w:t>乙方联系方式</w:t>
      </w:r>
      <w:bookmarkEnd w:id="81"/>
      <w:bookmarkEnd w:id="82"/>
    </w:p>
    <w:p>
      <w:pPr>
        <w:pageBreakBefore w:val="0"/>
        <w:widowControl w:val="0"/>
        <w:numPr>
          <w:ilvl w:val="-1"/>
          <w:numId w:val="0"/>
        </w:numPr>
        <w:kinsoku/>
        <w:wordWrap/>
        <w:overflowPunct/>
        <w:topLinePunct w:val="0"/>
        <w:autoSpaceDE/>
        <w:autoSpaceDN/>
        <w:bidi w:val="0"/>
        <w:adjustRightInd/>
        <w:snapToGrid/>
        <w:spacing w:line="500" w:lineRule="exact"/>
        <w:ind w:firstLine="420" w:firstLineChars="200"/>
        <w:textAlignment w:val="auto"/>
        <w:rPr>
          <w:rFonts w:hint="default" w:asciiTheme="minorEastAsia" w:hAnsiTheme="minorEastAsia" w:cstheme="minorEastAsia"/>
          <w:b w:val="0"/>
          <w:bCs w:val="0"/>
          <w:sz w:val="21"/>
          <w:szCs w:val="21"/>
          <w:lang w:val="en-US" w:eastAsia="zh-CN"/>
        </w:rPr>
      </w:pPr>
      <w:r>
        <w:rPr>
          <w:rFonts w:hint="default" w:asciiTheme="minorEastAsia" w:hAnsiTheme="minorEastAsia" w:cstheme="minorEastAsia"/>
          <w:b w:val="0"/>
          <w:bCs w:val="0"/>
          <w:sz w:val="21"/>
          <w:szCs w:val="21"/>
          <w:lang w:val="en-US" w:eastAsia="zh-CN"/>
        </w:rPr>
        <w:t>邮寄地址：</w:t>
      </w:r>
      <w:r>
        <w:rPr>
          <w:rFonts w:hint="eastAsia" w:asciiTheme="minorEastAsia" w:hAnsiTheme="minorEastAsia" w:cstheme="minorEastAsia"/>
          <w:b w:val="0"/>
          <w:bCs w:val="0"/>
          <w:sz w:val="21"/>
          <w:szCs w:val="21"/>
          <w:lang w:val="en-US" w:eastAsia="zh-CN"/>
        </w:rPr>
        <w:t xml:space="preserve"> </w:t>
      </w:r>
      <w:r>
        <w:rPr>
          <w:rFonts w:hint="default" w:asciiTheme="minorEastAsia" w:hAnsiTheme="minorEastAsia" w:cstheme="minorEastAsia"/>
          <w:b w:val="0"/>
          <w:bCs w:val="0"/>
          <w:sz w:val="21"/>
          <w:szCs w:val="21"/>
          <w:u w:val="single"/>
          <w:lang w:val="en-US" w:eastAsia="zh-CN"/>
        </w:rPr>
        <w:t xml:space="preserve">  </w:t>
      </w:r>
      <w:r>
        <w:rPr>
          <w:rFonts w:hint="eastAsia" w:asciiTheme="minorEastAsia" w:hAnsiTheme="minorEastAsia" w:cstheme="minorEastAsia"/>
          <w:b w:val="0"/>
          <w:bCs w:val="0"/>
          <w:sz w:val="21"/>
          <w:szCs w:val="21"/>
          <w:u w:val="single"/>
          <w:lang w:val="en-US" w:eastAsia="zh-CN"/>
        </w:rPr>
        <w:t xml:space="preserve">                                     </w:t>
      </w:r>
      <w:r>
        <w:rPr>
          <w:rFonts w:hint="default" w:asciiTheme="minorEastAsia" w:hAnsiTheme="minorEastAsia" w:cstheme="minorEastAsia"/>
          <w:b w:val="0"/>
          <w:bCs w:val="0"/>
          <w:sz w:val="21"/>
          <w:szCs w:val="21"/>
          <w:u w:val="single"/>
          <w:lang w:val="en-US" w:eastAsia="zh-CN"/>
        </w:rPr>
        <w:t xml:space="preserve">  </w:t>
      </w:r>
      <w:r>
        <w:rPr>
          <w:rFonts w:hint="default" w:asciiTheme="minorEastAsia" w:hAnsiTheme="minorEastAsia" w:cstheme="minorEastAsia"/>
          <w:b w:val="0"/>
          <w:bCs w:val="0"/>
          <w:sz w:val="21"/>
          <w:szCs w:val="21"/>
          <w:lang w:val="en-US" w:eastAsia="zh-CN"/>
        </w:rPr>
        <w:t>      </w:t>
      </w:r>
    </w:p>
    <w:p>
      <w:pPr>
        <w:pageBreakBefore w:val="0"/>
        <w:widowControl w:val="0"/>
        <w:numPr>
          <w:ilvl w:val="-1"/>
          <w:numId w:val="0"/>
        </w:numPr>
        <w:kinsoku/>
        <w:wordWrap/>
        <w:overflowPunct/>
        <w:topLinePunct w:val="0"/>
        <w:autoSpaceDE/>
        <w:autoSpaceDN/>
        <w:bidi w:val="0"/>
        <w:adjustRightInd/>
        <w:snapToGrid/>
        <w:spacing w:line="500" w:lineRule="exact"/>
        <w:ind w:firstLine="420" w:firstLineChars="200"/>
        <w:textAlignment w:val="auto"/>
        <w:rPr>
          <w:rFonts w:hint="default" w:asciiTheme="minorEastAsia" w:hAnsiTheme="minorEastAsia" w:cstheme="minorEastAsia"/>
          <w:b w:val="0"/>
          <w:bCs w:val="0"/>
          <w:sz w:val="21"/>
          <w:szCs w:val="21"/>
          <w:lang w:val="en-US" w:eastAsia="zh-CN"/>
        </w:rPr>
      </w:pPr>
      <w:r>
        <w:rPr>
          <w:rFonts w:hint="default" w:asciiTheme="minorEastAsia" w:hAnsiTheme="minorEastAsia" w:cstheme="minorEastAsia"/>
          <w:b w:val="0"/>
          <w:bCs w:val="0"/>
          <w:sz w:val="21"/>
          <w:szCs w:val="21"/>
          <w:lang w:val="en-US" w:eastAsia="zh-CN"/>
        </w:rPr>
        <w:t>联系人：</w:t>
      </w:r>
      <w:r>
        <w:rPr>
          <w:rFonts w:hint="eastAsia" w:asciiTheme="minorEastAsia" w:hAnsiTheme="minorEastAsia" w:cstheme="minorEastAsia"/>
          <w:b w:val="0"/>
          <w:bCs w:val="0"/>
          <w:sz w:val="21"/>
          <w:szCs w:val="21"/>
          <w:u w:val="single"/>
          <w:lang w:val="en-US" w:eastAsia="zh-CN"/>
        </w:rPr>
        <w:t xml:space="preserve">                                                   </w:t>
      </w:r>
      <w:r>
        <w:rPr>
          <w:rFonts w:hint="default" w:asciiTheme="minorEastAsia" w:hAnsiTheme="minorEastAsia" w:cstheme="minorEastAsia"/>
          <w:b w:val="0"/>
          <w:bCs w:val="0"/>
          <w:sz w:val="21"/>
          <w:szCs w:val="21"/>
          <w:lang w:val="en-US" w:eastAsia="zh-CN"/>
        </w:rPr>
        <w:t xml:space="preserve">          </w:t>
      </w:r>
    </w:p>
    <w:p>
      <w:pPr>
        <w:pageBreakBefore w:val="0"/>
        <w:widowControl w:val="0"/>
        <w:numPr>
          <w:ilvl w:val="-1"/>
          <w:numId w:val="0"/>
        </w:numPr>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cstheme="minorEastAsia"/>
          <w:b w:val="0"/>
          <w:bCs w:val="0"/>
          <w:sz w:val="21"/>
          <w:szCs w:val="21"/>
          <w:u w:val="single"/>
          <w:lang w:val="en-US" w:eastAsia="zh-CN"/>
        </w:rPr>
      </w:pPr>
      <w:r>
        <w:rPr>
          <w:rFonts w:hint="default" w:asciiTheme="minorEastAsia" w:hAnsiTheme="minorEastAsia" w:cstheme="minorEastAsia"/>
          <w:b w:val="0"/>
          <w:bCs w:val="0"/>
          <w:sz w:val="21"/>
          <w:szCs w:val="21"/>
          <w:lang w:val="en-US" w:eastAsia="zh-CN"/>
        </w:rPr>
        <w:t>电话：</w:t>
      </w:r>
      <w:r>
        <w:rPr>
          <w:rFonts w:hint="eastAsia" w:asciiTheme="minorEastAsia" w:hAnsiTheme="minorEastAsia" w:cstheme="minorEastAsia"/>
          <w:b w:val="0"/>
          <w:bCs w:val="0"/>
          <w:sz w:val="21"/>
          <w:szCs w:val="21"/>
          <w:u w:val="single"/>
          <w:lang w:val="en-US" w:eastAsia="zh-CN"/>
        </w:rPr>
        <w:t xml:space="preserve">            </w:t>
      </w:r>
    </w:p>
    <w:p>
      <w:pPr>
        <w:pageBreakBefore w:val="0"/>
        <w:widowControl w:val="0"/>
        <w:numPr>
          <w:ilvl w:val="-1"/>
          <w:numId w:val="0"/>
        </w:numPr>
        <w:kinsoku/>
        <w:wordWrap/>
        <w:overflowPunct/>
        <w:topLinePunct w:val="0"/>
        <w:autoSpaceDE/>
        <w:autoSpaceDN/>
        <w:bidi w:val="0"/>
        <w:adjustRightInd/>
        <w:snapToGrid/>
        <w:spacing w:line="500" w:lineRule="exact"/>
        <w:ind w:firstLine="420" w:firstLineChars="200"/>
        <w:textAlignment w:val="auto"/>
        <w:rPr>
          <w:rFonts w:hint="default" w:asciiTheme="minorEastAsia" w:hAnsiTheme="minorEastAsia" w:cstheme="minorEastAsia"/>
          <w:b w:val="0"/>
          <w:bCs w:val="0"/>
          <w:sz w:val="21"/>
          <w:szCs w:val="21"/>
          <w:lang w:val="en-US" w:eastAsia="zh-CN"/>
        </w:rPr>
      </w:pPr>
      <w:r>
        <w:rPr>
          <w:rFonts w:hint="default" w:asciiTheme="minorEastAsia" w:hAnsiTheme="minorEastAsia" w:cstheme="minorEastAsia"/>
          <w:b w:val="0"/>
          <w:bCs w:val="0"/>
          <w:sz w:val="21"/>
          <w:szCs w:val="21"/>
          <w:lang w:val="en-US" w:eastAsia="zh-CN"/>
        </w:rPr>
        <w:t>电子邮箱：</w:t>
      </w:r>
      <w:r>
        <w:rPr>
          <w:rFonts w:hint="eastAsia" w:asciiTheme="minorEastAsia" w:hAnsiTheme="minorEastAsia" w:cstheme="minorEastAsia"/>
          <w:b w:val="0"/>
          <w:bCs w:val="0"/>
          <w:sz w:val="21"/>
          <w:szCs w:val="21"/>
          <w:u w:val="single"/>
          <w:lang w:val="en-US" w:eastAsia="zh-CN"/>
        </w:rPr>
        <w:t xml:space="preserve">              </w:t>
      </w:r>
      <w:r>
        <w:rPr>
          <w:rFonts w:hint="default" w:asciiTheme="minorEastAsia" w:hAnsiTheme="minorEastAsia" w:cstheme="minorEastAsia"/>
          <w:b w:val="0"/>
          <w:bCs w:val="0"/>
          <w:sz w:val="21"/>
          <w:szCs w:val="21"/>
          <w:lang w:val="en-US" w:eastAsia="zh-CN"/>
        </w:rPr>
        <w:t> </w:t>
      </w:r>
    </w:p>
    <w:p>
      <w:pPr>
        <w:pageBreakBefore w:val="0"/>
        <w:widowControl w:val="0"/>
        <w:numPr>
          <w:ilvl w:val="-1"/>
          <w:numId w:val="0"/>
        </w:numPr>
        <w:kinsoku/>
        <w:wordWrap/>
        <w:overflowPunct/>
        <w:topLinePunct w:val="0"/>
        <w:autoSpaceDE/>
        <w:autoSpaceDN/>
        <w:bidi w:val="0"/>
        <w:adjustRightInd/>
        <w:snapToGrid/>
        <w:spacing w:line="500" w:lineRule="exact"/>
        <w:ind w:firstLine="420" w:firstLineChars="200"/>
        <w:textAlignment w:val="auto"/>
        <w:rPr>
          <w:rFonts w:hint="default"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（二）</w:t>
      </w:r>
      <w:r>
        <w:rPr>
          <w:rFonts w:hint="default" w:asciiTheme="minorEastAsia" w:hAnsiTheme="minorEastAsia" w:cstheme="minorEastAsia"/>
          <w:b w:val="0"/>
          <w:bCs w:val="0"/>
          <w:sz w:val="21"/>
          <w:szCs w:val="21"/>
          <w:lang w:val="en-US" w:eastAsia="zh-CN"/>
        </w:rPr>
        <w:t>通过电子邮箱及其它电子方式送达时，发出之日即视为有效送达。通过快递等方式送达时，对方签收之日或发出后第三日视为有效送达（以两者较早一个日期为准）；对方拒收或退回的，视为签收。</w:t>
      </w:r>
    </w:p>
    <w:p>
      <w:pPr>
        <w:pageBreakBefore w:val="0"/>
        <w:widowControl w:val="0"/>
        <w:numPr>
          <w:ilvl w:val="-1"/>
          <w:numId w:val="0"/>
        </w:numPr>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（三）上述联系方式同时作为有效司法送达地址。</w:t>
      </w:r>
    </w:p>
    <w:p>
      <w:pPr>
        <w:pageBreakBefore w:val="0"/>
        <w:widowControl w:val="0"/>
        <w:numPr>
          <w:ilvl w:val="-1"/>
          <w:numId w:val="0"/>
        </w:numPr>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（四）一方变更联系方式，应自变更之日起三日内，以书面形式通知对方；否则，该联系方式仍视为有效，由未通知方承担由此而引起的相关责任。</w:t>
      </w:r>
    </w:p>
    <w:p>
      <w:pPr>
        <w:pageBreakBefore w:val="0"/>
        <w:widowControl w:val="0"/>
        <w:numPr>
          <w:ilvl w:val="-1"/>
          <w:numId w:val="0"/>
        </w:numPr>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（五）本联系方式条款为独立条款，不受合本协议整体或其他条款的效力影响，始终有效。</w:t>
      </w:r>
    </w:p>
    <w:p>
      <w:pPr>
        <w:pageBreakBefore w:val="0"/>
        <w:widowControl w:val="0"/>
        <w:kinsoku/>
        <w:wordWrap/>
        <w:overflowPunct/>
        <w:topLinePunct w:val="0"/>
        <w:autoSpaceDE/>
        <w:autoSpaceDN/>
        <w:bidi w:val="0"/>
        <w:adjustRightInd/>
        <w:snapToGrid/>
        <w:spacing w:line="500" w:lineRule="exact"/>
        <w:ind w:firstLine="422" w:firstLineChars="200"/>
        <w:textAlignment w:val="auto"/>
        <w:outlineLvl w:val="0"/>
        <w:rPr>
          <w:rFonts w:hint="eastAsia" w:asciiTheme="minorEastAsia" w:hAnsiTheme="minorEastAsia" w:cstheme="minorEastAsia"/>
          <w:b/>
          <w:bCs/>
          <w:sz w:val="21"/>
          <w:szCs w:val="21"/>
        </w:rPr>
      </w:pPr>
      <w:bookmarkStart w:id="83" w:name="_Toc11464"/>
      <w:bookmarkStart w:id="84" w:name="_Toc24285"/>
      <w:r>
        <w:rPr>
          <w:rFonts w:hint="eastAsia" w:asciiTheme="minorEastAsia" w:hAnsiTheme="minorEastAsia" w:cstheme="minorEastAsia"/>
          <w:b/>
          <w:bCs/>
          <w:sz w:val="21"/>
          <w:szCs w:val="21"/>
          <w:lang w:val="en-US" w:eastAsia="zh-CN"/>
        </w:rPr>
        <w:t>十、</w:t>
      </w:r>
      <w:r>
        <w:rPr>
          <w:rFonts w:hint="eastAsia" w:asciiTheme="minorEastAsia" w:hAnsiTheme="minorEastAsia" w:cstheme="minorEastAsia"/>
          <w:b/>
          <w:bCs/>
          <w:sz w:val="21"/>
          <w:szCs w:val="21"/>
        </w:rPr>
        <w:t>争议与解决</w:t>
      </w:r>
      <w:bookmarkEnd w:id="83"/>
      <w:bookmarkEnd w:id="84"/>
    </w:p>
    <w:p>
      <w:pPr>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cstheme="minorEastAsia"/>
          <w:sz w:val="21"/>
          <w:szCs w:val="21"/>
        </w:rPr>
      </w:pPr>
      <w:r>
        <w:rPr>
          <w:rFonts w:hint="eastAsia" w:asciiTheme="minorEastAsia" w:hAnsiTheme="minorEastAsia" w:cstheme="minorEastAsia"/>
          <w:sz w:val="21"/>
          <w:szCs w:val="21"/>
        </w:rPr>
        <w:t>在履行本协议和补充协议的过程中，若发生争议，双方应本着友好互让的原则协商解决，协商不成时，可向</w:t>
      </w:r>
      <w:r>
        <w:rPr>
          <w:rFonts w:hint="eastAsia" w:asciiTheme="minorEastAsia" w:hAnsiTheme="minorEastAsia" w:cstheme="minorEastAsia"/>
          <w:sz w:val="21"/>
          <w:szCs w:val="21"/>
          <w:lang w:val="en-US" w:eastAsia="zh-CN"/>
        </w:rPr>
        <w:t>前海深港合作区</w:t>
      </w:r>
      <w:r>
        <w:rPr>
          <w:rFonts w:hint="eastAsia" w:asciiTheme="minorEastAsia" w:hAnsiTheme="minorEastAsia" w:cstheme="minorEastAsia"/>
          <w:sz w:val="21"/>
          <w:szCs w:val="21"/>
        </w:rPr>
        <w:t>人民法院提起诉讼,产生的费用由败诉一方承担。</w:t>
      </w:r>
    </w:p>
    <w:p>
      <w:pPr>
        <w:pageBreakBefore w:val="0"/>
        <w:widowControl w:val="0"/>
        <w:kinsoku/>
        <w:wordWrap/>
        <w:overflowPunct/>
        <w:topLinePunct w:val="0"/>
        <w:autoSpaceDE/>
        <w:autoSpaceDN/>
        <w:bidi w:val="0"/>
        <w:adjustRightInd/>
        <w:snapToGrid/>
        <w:spacing w:line="500" w:lineRule="exact"/>
        <w:ind w:firstLine="422" w:firstLineChars="200"/>
        <w:textAlignment w:val="auto"/>
        <w:outlineLvl w:val="0"/>
        <w:rPr>
          <w:rFonts w:hint="eastAsia" w:asciiTheme="minorEastAsia" w:hAnsiTheme="minorEastAsia" w:cstheme="minorEastAsia"/>
          <w:b/>
          <w:bCs/>
          <w:sz w:val="21"/>
          <w:szCs w:val="21"/>
        </w:rPr>
      </w:pPr>
      <w:bookmarkStart w:id="85" w:name="_Toc6349"/>
      <w:bookmarkStart w:id="86" w:name="_Toc25343"/>
      <w:r>
        <w:rPr>
          <w:rFonts w:hint="eastAsia" w:asciiTheme="minorEastAsia" w:hAnsiTheme="minorEastAsia" w:cstheme="minorEastAsia"/>
          <w:b/>
          <w:bCs/>
          <w:sz w:val="21"/>
          <w:szCs w:val="21"/>
        </w:rPr>
        <w:t>十</w:t>
      </w:r>
      <w:r>
        <w:rPr>
          <w:rFonts w:hint="eastAsia" w:asciiTheme="minorEastAsia" w:hAnsiTheme="minorEastAsia" w:cstheme="minorEastAsia"/>
          <w:b/>
          <w:bCs/>
          <w:sz w:val="21"/>
          <w:szCs w:val="21"/>
          <w:lang w:val="en-US" w:eastAsia="zh-CN"/>
        </w:rPr>
        <w:t>一</w:t>
      </w:r>
      <w:r>
        <w:rPr>
          <w:rFonts w:hint="eastAsia" w:asciiTheme="minorEastAsia" w:hAnsiTheme="minorEastAsia" w:cstheme="minorEastAsia"/>
          <w:b/>
          <w:bCs/>
          <w:sz w:val="21"/>
          <w:szCs w:val="21"/>
        </w:rPr>
        <w:t>、其他</w:t>
      </w:r>
      <w:bookmarkEnd w:id="85"/>
      <w:bookmarkEnd w:id="86"/>
    </w:p>
    <w:p>
      <w:pPr>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cstheme="minorEastAsia"/>
          <w:sz w:val="21"/>
          <w:szCs w:val="21"/>
        </w:rPr>
      </w:pPr>
      <w:r>
        <w:rPr>
          <w:rFonts w:hint="eastAsia" w:asciiTheme="minorEastAsia" w:hAnsiTheme="minorEastAsia" w:cstheme="minorEastAsia"/>
          <w:sz w:val="21"/>
          <w:szCs w:val="21"/>
        </w:rPr>
        <w:t>（一）本协议一式肆份，双方各执贰份，具备同等法律效力。</w:t>
      </w:r>
    </w:p>
    <w:p>
      <w:pPr>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cstheme="minorEastAsia"/>
          <w:sz w:val="21"/>
          <w:szCs w:val="21"/>
        </w:rPr>
      </w:pPr>
      <w:r>
        <w:rPr>
          <w:rFonts w:hint="eastAsia" w:asciiTheme="minorEastAsia" w:hAnsiTheme="minorEastAsia" w:cstheme="minorEastAsia"/>
          <w:sz w:val="21"/>
          <w:szCs w:val="21"/>
        </w:rPr>
        <w:t>（二）在协议执行期间，任何一方如提出修改或终止本协议，经双方协商一致方可修改或终止本协议。协议的提前终止，不影响双方于协议终止前已产生的权利和义务。</w:t>
      </w:r>
    </w:p>
    <w:p>
      <w:pPr>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cstheme="minorEastAsia"/>
          <w:sz w:val="21"/>
          <w:szCs w:val="21"/>
        </w:rPr>
      </w:pPr>
      <w:r>
        <w:rPr>
          <w:rFonts w:hint="eastAsia" w:asciiTheme="minorEastAsia" w:hAnsiTheme="minorEastAsia" w:cstheme="minorEastAsia"/>
          <w:sz w:val="21"/>
          <w:szCs w:val="21"/>
        </w:rPr>
        <w:t>（三）本协议到期后，双方经书面同意后本协议继续有效；如果不再继续合作或对协议内容提出异议的，双方可另行协商终止合同，或重新签署新的合作协议。</w:t>
      </w:r>
    </w:p>
    <w:p>
      <w:pPr>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cstheme="minorEastAsia"/>
          <w:sz w:val="21"/>
          <w:szCs w:val="21"/>
        </w:rPr>
      </w:pPr>
    </w:p>
    <w:p>
      <w:pPr>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cstheme="minorEastAsia"/>
          <w:sz w:val="21"/>
          <w:szCs w:val="21"/>
        </w:rPr>
      </w:pPr>
      <w:r>
        <w:rPr>
          <w:rFonts w:hint="eastAsia" w:asciiTheme="minorEastAsia" w:hAnsiTheme="minorEastAsia" w:cstheme="minorEastAsia"/>
          <w:sz w:val="21"/>
          <w:szCs w:val="21"/>
        </w:rPr>
        <w:t>（以下无正文）</w:t>
      </w:r>
    </w:p>
    <w:p>
      <w:pPr>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cstheme="minorEastAsia"/>
          <w:sz w:val="21"/>
          <w:szCs w:val="21"/>
        </w:rPr>
      </w:pPr>
    </w:p>
    <w:p>
      <w:pPr>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cstheme="minorEastAsia"/>
          <w:sz w:val="21"/>
          <w:szCs w:val="21"/>
        </w:rPr>
      </w:pPr>
      <w:r>
        <w:rPr>
          <w:rFonts w:hint="eastAsia" w:asciiTheme="minorEastAsia" w:hAnsiTheme="minorEastAsia" w:cstheme="minorEastAsia"/>
          <w:sz w:val="21"/>
          <w:szCs w:val="21"/>
        </w:rPr>
        <w:t>甲方（盖章）:深圳市前海智慧园区有限公司</w:t>
      </w:r>
    </w:p>
    <w:p>
      <w:pPr>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cstheme="minorEastAsia"/>
          <w:sz w:val="21"/>
          <w:szCs w:val="21"/>
        </w:rPr>
      </w:pPr>
      <w:r>
        <w:rPr>
          <w:rFonts w:hint="eastAsia" w:asciiTheme="minorEastAsia" w:hAnsiTheme="minorEastAsia" w:cstheme="minorEastAsia"/>
          <w:sz w:val="21"/>
          <w:szCs w:val="21"/>
        </w:rPr>
        <w:t>法定代表人或授权委托人（签字）：</w:t>
      </w:r>
    </w:p>
    <w:p>
      <w:pPr>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cstheme="minorEastAsia"/>
          <w:sz w:val="21"/>
          <w:szCs w:val="21"/>
        </w:rPr>
      </w:pPr>
      <w:r>
        <w:rPr>
          <w:rFonts w:hint="eastAsia" w:asciiTheme="minorEastAsia" w:hAnsiTheme="minorEastAsia" w:cstheme="minorEastAsia"/>
          <w:sz w:val="21"/>
          <w:szCs w:val="21"/>
        </w:rPr>
        <w:t>日期：</w:t>
      </w:r>
    </w:p>
    <w:p>
      <w:pPr>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cstheme="minorEastAsia"/>
          <w:sz w:val="21"/>
          <w:szCs w:val="21"/>
        </w:rPr>
      </w:pPr>
      <w:r>
        <w:rPr>
          <w:rFonts w:hint="eastAsia" w:asciiTheme="minorEastAsia" w:hAnsiTheme="minorEastAsia" w:cstheme="minorEastAsia"/>
          <w:sz w:val="21"/>
          <w:szCs w:val="21"/>
        </w:rPr>
        <w:t xml:space="preserve">  </w:t>
      </w:r>
    </w:p>
    <w:p>
      <w:pPr>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cstheme="minorEastAsia"/>
          <w:sz w:val="21"/>
          <w:szCs w:val="21"/>
        </w:rPr>
      </w:pPr>
      <w:r>
        <w:rPr>
          <w:rFonts w:hint="eastAsia" w:asciiTheme="minorEastAsia" w:hAnsiTheme="minorEastAsia" w:cstheme="minorEastAsia"/>
          <w:sz w:val="21"/>
          <w:szCs w:val="21"/>
        </w:rPr>
        <w:t>乙方（盖章）:</w:t>
      </w:r>
    </w:p>
    <w:p>
      <w:pPr>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cstheme="minorEastAsia"/>
          <w:sz w:val="21"/>
          <w:szCs w:val="21"/>
        </w:rPr>
      </w:pPr>
      <w:r>
        <w:rPr>
          <w:rFonts w:hint="eastAsia" w:asciiTheme="minorEastAsia" w:hAnsiTheme="minorEastAsia" w:cstheme="minorEastAsia"/>
          <w:sz w:val="21"/>
          <w:szCs w:val="21"/>
        </w:rPr>
        <w:t>法定代表人或授权委托人（签字）：</w:t>
      </w:r>
    </w:p>
    <w:p>
      <w:pPr>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cstheme="minorEastAsia"/>
          <w:sz w:val="21"/>
          <w:szCs w:val="21"/>
        </w:rPr>
      </w:pPr>
      <w:r>
        <w:rPr>
          <w:rFonts w:hint="eastAsia" w:asciiTheme="minorEastAsia" w:hAnsiTheme="minorEastAsia" w:cstheme="minorEastAsia"/>
          <w:sz w:val="21"/>
          <w:szCs w:val="21"/>
        </w:rPr>
        <w:t>日期：</w:t>
      </w:r>
    </w:p>
    <w:p>
      <w:pPr>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cstheme="minorEastAsia"/>
          <w:sz w:val="21"/>
          <w:szCs w:val="21"/>
        </w:rPr>
        <w:sectPr>
          <w:pgSz w:w="11906" w:h="16838"/>
          <w:pgMar w:top="1440" w:right="1800" w:bottom="1440" w:left="1800" w:header="851" w:footer="992" w:gutter="0"/>
          <w:cols w:space="425" w:num="1"/>
          <w:docGrid w:type="lines" w:linePitch="312" w:charSpace="0"/>
        </w:sectPr>
      </w:pPr>
    </w:p>
    <w:p>
      <w:pPr>
        <w:keepNext w:val="0"/>
        <w:keepLines w:val="0"/>
        <w:spacing w:line="500" w:lineRule="exact"/>
        <w:rPr>
          <w:rFonts w:hint="eastAsia" w:ascii="宋体" w:hAnsi="宋体" w:eastAsia="宋体" w:cs="宋体"/>
          <w:sz w:val="21"/>
          <w:szCs w:val="21"/>
        </w:rPr>
      </w:pPr>
      <w:bookmarkStart w:id="87" w:name="_Toc19254"/>
      <w:bookmarkStart w:id="88" w:name="_Toc15429"/>
      <w:r>
        <w:rPr>
          <w:rFonts w:hint="eastAsia" w:asciiTheme="minorEastAsia" w:hAnsiTheme="minorEastAsia" w:eastAsiaTheme="minorEastAsia" w:cstheme="minorEastAsia"/>
          <w:b w:val="0"/>
          <w:bCs w:val="0"/>
          <w:sz w:val="21"/>
          <w:szCs w:val="21"/>
        </w:rPr>
        <w:t>附件一：</w:t>
      </w:r>
      <w:bookmarkEnd w:id="87"/>
      <w:bookmarkEnd w:id="88"/>
      <w:r>
        <w:rPr>
          <w:rFonts w:hint="eastAsia" w:ascii="宋体" w:hAnsi="宋体" w:eastAsia="宋体" w:cs="宋体"/>
          <w:sz w:val="21"/>
          <w:szCs w:val="21"/>
        </w:rPr>
        <w:t>廉洁协议</w:t>
      </w:r>
    </w:p>
    <w:p>
      <w:pPr>
        <w:spacing w:line="400" w:lineRule="exact"/>
        <w:ind w:firstLine="420" w:firstLineChars="200"/>
        <w:rPr>
          <w:rFonts w:hint="eastAsia" w:ascii="宋体" w:hAnsi="宋体" w:eastAsia="宋体" w:cs="宋体"/>
          <w:sz w:val="21"/>
          <w:szCs w:val="21"/>
        </w:rPr>
      </w:pPr>
    </w:p>
    <w:p>
      <w:pPr>
        <w:spacing w:line="400" w:lineRule="exact"/>
        <w:ind w:firstLine="0" w:firstLineChars="0"/>
        <w:rPr>
          <w:rFonts w:hint="eastAsia" w:ascii="宋体" w:hAnsi="宋体" w:eastAsia="宋体" w:cs="宋体"/>
          <w:sz w:val="21"/>
          <w:szCs w:val="21"/>
        </w:rPr>
      </w:pPr>
      <w:r>
        <w:rPr>
          <w:rFonts w:hint="eastAsia" w:ascii="宋体" w:hAnsi="宋体" w:eastAsia="宋体" w:cs="宋体"/>
          <w:sz w:val="21"/>
          <w:szCs w:val="21"/>
        </w:rPr>
        <w:t>甲    方</w:t>
      </w:r>
      <w:r>
        <w:rPr>
          <w:rFonts w:hint="eastAsia" w:ascii="宋体" w:hAnsi="宋体" w:eastAsia="宋体" w:cs="宋体"/>
          <w:sz w:val="21"/>
          <w:szCs w:val="21"/>
          <w:lang w:eastAsia="zh-CN"/>
        </w:rPr>
        <w:t>：</w:t>
      </w:r>
      <w:r>
        <w:rPr>
          <w:rFonts w:hint="eastAsia" w:ascii="宋体" w:hAnsi="宋体" w:eastAsia="宋体" w:cs="宋体"/>
          <w:sz w:val="21"/>
          <w:szCs w:val="21"/>
          <w:u w:val="single"/>
        </w:rPr>
        <w:t>深圳市前海智慧园区有限公司</w:t>
      </w:r>
      <w:r>
        <w:rPr>
          <w:rFonts w:hint="eastAsia" w:ascii="宋体" w:hAnsi="宋体" w:eastAsia="宋体" w:cs="宋体"/>
          <w:sz w:val="21"/>
          <w:szCs w:val="21"/>
        </w:rPr>
        <w:t xml:space="preserve">               </w:t>
      </w:r>
    </w:p>
    <w:p>
      <w:pPr>
        <w:spacing w:line="400" w:lineRule="exact"/>
        <w:ind w:firstLine="0" w:firstLineChars="0"/>
        <w:rPr>
          <w:rFonts w:hint="eastAsia" w:ascii="宋体" w:hAnsi="宋体" w:eastAsia="宋体" w:cs="宋体"/>
          <w:sz w:val="21"/>
          <w:szCs w:val="21"/>
        </w:rPr>
      </w:pPr>
      <w:r>
        <w:rPr>
          <w:rFonts w:hint="eastAsia" w:ascii="宋体" w:hAnsi="宋体" w:eastAsia="宋体" w:cs="宋体"/>
          <w:sz w:val="21"/>
          <w:szCs w:val="21"/>
        </w:rPr>
        <w:t>乙    方：</w:t>
      </w:r>
      <w:r>
        <w:rPr>
          <w:rFonts w:hint="eastAsia" w:ascii="宋体" w:hAnsi="宋体" w:eastAsia="宋体" w:cs="宋体"/>
          <w:sz w:val="21"/>
          <w:szCs w:val="21"/>
          <w:u w:val="single"/>
          <w:lang w:eastAsia="zh-CN"/>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rPr>
        <w:t xml:space="preserve">                                         </w:t>
      </w:r>
    </w:p>
    <w:p>
      <w:pPr>
        <w:spacing w:line="400" w:lineRule="exact"/>
        <w:ind w:firstLine="0" w:firstLineChars="0"/>
        <w:rPr>
          <w:rFonts w:hint="eastAsia" w:ascii="宋体" w:hAnsi="宋体" w:eastAsia="宋体" w:cs="宋体"/>
          <w:sz w:val="21"/>
          <w:szCs w:val="21"/>
        </w:rPr>
      </w:pPr>
      <w:r>
        <w:rPr>
          <w:rFonts w:hint="eastAsia" w:ascii="宋体" w:hAnsi="宋体" w:eastAsia="宋体" w:cs="宋体"/>
          <w:sz w:val="21"/>
          <w:szCs w:val="21"/>
        </w:rPr>
        <w:t>项目名称</w:t>
      </w:r>
      <w:r>
        <w:rPr>
          <w:rFonts w:hint="eastAsia" w:ascii="宋体" w:hAnsi="宋体" w:eastAsia="宋体" w:cs="宋体"/>
          <w:sz w:val="21"/>
          <w:szCs w:val="21"/>
          <w:lang w:eastAsia="zh-CN"/>
        </w:rPr>
        <w:t>：</w:t>
      </w:r>
      <w:r>
        <w:rPr>
          <w:rFonts w:hint="eastAsia" w:ascii="宋体" w:hAnsi="宋体" w:eastAsia="宋体" w:cs="宋体"/>
          <w:sz w:val="21"/>
          <w:szCs w:val="21"/>
          <w:u w:val="single"/>
          <w:lang w:eastAsia="zh-CN"/>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rPr>
        <w:t xml:space="preserve">  </w:t>
      </w:r>
    </w:p>
    <w:p>
      <w:pPr>
        <w:spacing w:line="400" w:lineRule="exact"/>
        <w:ind w:firstLine="420" w:firstLineChars="200"/>
        <w:rPr>
          <w:rFonts w:hint="eastAsia" w:ascii="宋体" w:hAnsi="宋体" w:eastAsia="宋体" w:cs="宋体"/>
          <w:sz w:val="21"/>
          <w:szCs w:val="21"/>
        </w:rPr>
      </w:pPr>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为全面建设前海“廉洁示范区”，树立企业的良好形象，防控商业领域廉洁风险，营造健康商业环境和建立正常商业合作关系，根据《民法典》、《反不正当竞争法》、《关于禁止商业贿赂行为的暂行规定》等法律、法规、规章及政策的规定，双方同意签订本廉洁协议。</w:t>
      </w:r>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一、甲乙双方共同的权利和义务</w:t>
      </w:r>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1、严格遵守国家有关法律法规及有关规定。</w:t>
      </w:r>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2、严格执行合同约定，自觉按合同办事。</w:t>
      </w:r>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3、建立健全采购供应廉洁制度，开展廉洁教育，监督并认真查处违法违纪行为。</w:t>
      </w:r>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4、互相监督，发现对方在业务活动中有违反廉洁规定的行为，有及时提醒对方纠正的权利和义务，有向对方纪检监察部门或上级有关部门举报、建议给予处理并要求告知处理结果的权利。</w:t>
      </w:r>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5、不得为谋求私利进行私下协商或者达成默契。</w:t>
      </w:r>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6、乙方无论以任何名义给予甲方的折扣、回扣或其他优惠条件，必须以明示的方式体现在主合同中。</w:t>
      </w:r>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7、甲乙双方及其员工不得干预和插手与本项目相关的招投标等活动。</w:t>
      </w:r>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二、甲方及其工作人员的义务</w:t>
      </w:r>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1、不得索取、接受或者以借为名占用管理乙方的财物（双方合同另有规定除外）</w:t>
      </w:r>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2、不得索取或接受乙方及其工作人员以任何名义赠送的现金、回扣、有价证券、支付凭证和贵重礼品等。</w:t>
      </w:r>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3、不得以任何名义向乙方及其工作人员索要合同以外的各种费用，不得在乙方报销应由本单位或个人承担的任何费用。</w:t>
      </w:r>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4、不得参加乙方及其工作人员组织的可能对公正履行合同有影响的宴请、娱乐和旅游等一切活动。</w:t>
      </w:r>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5、不得在合同签订、验收、付款等正常按约履行时为索取合同约定以外的费用而借故刁难乙方。</w:t>
      </w:r>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6、不得要求或接受乙方及其工作人员为其住房装修、婚丧嫁娶、家属亲友工作安排以及出国等提供方便。</w:t>
      </w:r>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7、不得向乙方及其工作人员介绍家属、亲友从事与本项目有关的经济活动。</w:t>
      </w:r>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8、不得要求乙方购买合同约定外的任何物品。</w:t>
      </w:r>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9、不得在家里接待乙方工作人员有关事项的询访。</w:t>
      </w:r>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三、乙方及其工作人员的义务</w:t>
      </w:r>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1、不得以任何形式向甲方及其工作人员赠送礼金、回扣、有价证券、支付凭证、贵重礼品等财物。</w:t>
      </w:r>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2、不得支付甲方及其工作人员以任何名义索要的合同中未约定的费用，不得报销应由甲方单位或个人承担的费用。</w:t>
      </w:r>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3、不得邀请甲方及其工作人员参加由乙方付费的宴请、娱乐以及旅游等一切活动。</w:t>
      </w:r>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4、不得在合同签订、验收、付款等履行环节为获得便利向甲方任何人支付任何合同约定以外的费用。</w:t>
      </w:r>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5、不得为甲方工作人员的住房装修、婚丧嫁娶、家属亲友工作安排以及出国等提供方便。</w:t>
      </w:r>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6、不得接受甲方及其工作人员介绍的家属、亲友从事与本项目有关的经济活动。</w:t>
      </w:r>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7、不得为甲方及其工作人员购置或长期无偿提供通讯工具、交通工具、家电或其他物品。</w:t>
      </w:r>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8、不得到甲方工作人员家里询问有关事项。</w:t>
      </w:r>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四、违约责任</w:t>
      </w:r>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1、甲方工作人员如违反本协议有关条款，甲方将按照公司有关规定给予当事人相应的行处罚，情节严重、触犯法律的将由司法机关处理。</w:t>
      </w:r>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乙方及其工作人员如违反本协议有关条款，甲方将视情节轻重给予批评教育、警告、终止采购合同、取消乙方供应商资格，并将根据情况决定是否依法追究乙方的法律责任。对由此造成的一切后果均由乙方承担。</w:t>
      </w:r>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3、乙方如对甲方工作人员的违纪行为知情不报，包庇纵容，一经查实，甲方有权按上一条约定执行。</w:t>
      </w:r>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4、甲乙双方不履行各自义务，构成违法违纪的，由司法机关或上级部门按管辖权依法依纪处理，所认定的事实和处理结果作为承担违约责任的依据。</w:t>
      </w:r>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5、甲乙双方有其他违反廉洁规定的行为，影响正常履行采购合同的，按国家有关法律法规，对相关方予以责任追究。</w:t>
      </w:r>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五、违反廉洁协议行为的举报</w:t>
      </w:r>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甲乙双方发现有违反本廉洁协议的任何行为，均可向甲方综合支持中心举报（电话举报：0755-88991815）或向前海廉政监督局举报（前海廉政监督局举报受理信息：电话举报：0755-36668510；0755-12388。网络举报：http://www.ljsz.gov.cn/）。</w:t>
      </w:r>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六、其他未尽事宜，由双方协商解决。</w:t>
      </w:r>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七、本协议与</w:t>
      </w:r>
      <w:r>
        <w:rPr>
          <w:rFonts w:hint="eastAsia" w:ascii="宋体" w:hAnsi="宋体" w:eastAsia="宋体" w:cs="宋体"/>
          <w:sz w:val="21"/>
          <w:szCs w:val="21"/>
          <w:u w:val="single"/>
          <w:lang w:eastAsia="zh-CN"/>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rPr>
        <w:t xml:space="preserve"> 一并签订，作为该合同的附件，具有与该合同同等的法律效力。</w:t>
      </w:r>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八、本协议经双方签字盖章后生效，在甲乙双方存在业务关系期间均对双方产生约束力。</w:t>
      </w:r>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九、本协议一式二份，甲、乙双方各执一份。 </w:t>
      </w:r>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（以下无正文）</w:t>
      </w:r>
    </w:p>
    <w:p>
      <w:pPr>
        <w:ind w:firstLine="420" w:firstLineChars="200"/>
        <w:rPr>
          <w:rFonts w:hint="eastAsia" w:ascii="宋体" w:hAnsi="宋体" w:eastAsia="宋体" w:cs="宋体"/>
          <w:sz w:val="21"/>
          <w:szCs w:val="21"/>
        </w:rPr>
      </w:pPr>
    </w:p>
    <w:p>
      <w:pPr>
        <w:ind w:firstLine="420" w:firstLineChars="200"/>
        <w:rPr>
          <w:rFonts w:hint="eastAsia" w:ascii="宋体" w:hAnsi="宋体" w:eastAsia="宋体" w:cs="宋体"/>
          <w:sz w:val="21"/>
          <w:szCs w:val="21"/>
        </w:rPr>
      </w:pPr>
    </w:p>
    <w:p>
      <w:pPr>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cstheme="minorEastAsia"/>
          <w:sz w:val="21"/>
          <w:szCs w:val="21"/>
        </w:rPr>
      </w:pPr>
      <w:r>
        <w:rPr>
          <w:rFonts w:hint="eastAsia" w:asciiTheme="minorEastAsia" w:hAnsiTheme="minorEastAsia" w:cstheme="minorEastAsia"/>
          <w:sz w:val="21"/>
          <w:szCs w:val="21"/>
        </w:rPr>
        <w:t>甲方（盖章）:深圳市前海智慧园区有限公司</w:t>
      </w:r>
    </w:p>
    <w:p>
      <w:pPr>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cstheme="minorEastAsia"/>
          <w:sz w:val="21"/>
          <w:szCs w:val="21"/>
        </w:rPr>
      </w:pPr>
      <w:r>
        <w:rPr>
          <w:rFonts w:hint="eastAsia" w:asciiTheme="minorEastAsia" w:hAnsiTheme="minorEastAsia" w:cstheme="minorEastAsia"/>
          <w:sz w:val="21"/>
          <w:szCs w:val="21"/>
        </w:rPr>
        <w:t>法定代表人或授权委托人（签字）：</w:t>
      </w:r>
    </w:p>
    <w:p>
      <w:pPr>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cstheme="minorEastAsia"/>
          <w:sz w:val="21"/>
          <w:szCs w:val="21"/>
        </w:rPr>
      </w:pPr>
      <w:r>
        <w:rPr>
          <w:rFonts w:hint="eastAsia" w:asciiTheme="minorEastAsia" w:hAnsiTheme="minorEastAsia" w:cstheme="minorEastAsia"/>
          <w:sz w:val="21"/>
          <w:szCs w:val="21"/>
        </w:rPr>
        <w:t>日期：</w:t>
      </w:r>
    </w:p>
    <w:p>
      <w:pPr>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cstheme="minorEastAsia"/>
          <w:sz w:val="21"/>
          <w:szCs w:val="21"/>
        </w:rPr>
      </w:pPr>
      <w:r>
        <w:rPr>
          <w:rFonts w:hint="eastAsia" w:asciiTheme="minorEastAsia" w:hAnsiTheme="minorEastAsia" w:cstheme="minorEastAsia"/>
          <w:sz w:val="21"/>
          <w:szCs w:val="21"/>
        </w:rPr>
        <w:t xml:space="preserve">  </w:t>
      </w:r>
    </w:p>
    <w:p>
      <w:pPr>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cstheme="minorEastAsia"/>
          <w:sz w:val="21"/>
          <w:szCs w:val="21"/>
        </w:rPr>
      </w:pPr>
      <w:r>
        <w:rPr>
          <w:rFonts w:hint="eastAsia" w:asciiTheme="minorEastAsia" w:hAnsiTheme="minorEastAsia" w:cstheme="minorEastAsia"/>
          <w:sz w:val="21"/>
          <w:szCs w:val="21"/>
        </w:rPr>
        <w:t>乙方（盖章）:</w:t>
      </w:r>
    </w:p>
    <w:p>
      <w:pPr>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cstheme="minorEastAsia"/>
          <w:sz w:val="21"/>
          <w:szCs w:val="21"/>
        </w:rPr>
      </w:pPr>
      <w:r>
        <w:rPr>
          <w:rFonts w:hint="eastAsia" w:asciiTheme="minorEastAsia" w:hAnsiTheme="minorEastAsia" w:cstheme="minorEastAsia"/>
          <w:sz w:val="21"/>
          <w:szCs w:val="21"/>
        </w:rPr>
        <w:t>法定代表人或授权委托人（签字）：</w:t>
      </w:r>
    </w:p>
    <w:p>
      <w:pPr>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cstheme="minorEastAsia"/>
          <w:sz w:val="21"/>
          <w:szCs w:val="21"/>
        </w:rPr>
      </w:pPr>
      <w:r>
        <w:rPr>
          <w:rFonts w:hint="eastAsia" w:asciiTheme="minorEastAsia" w:hAnsiTheme="minorEastAsia" w:cstheme="minorEastAsia"/>
          <w:sz w:val="21"/>
          <w:szCs w:val="21"/>
        </w:rPr>
        <w:t>日期：</w:t>
      </w:r>
    </w:p>
    <w:p>
      <w:pPr>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cstheme="minorEastAsia"/>
          <w:sz w:val="21"/>
          <w:szCs w:val="21"/>
        </w:rPr>
        <w:sectPr>
          <w:pgSz w:w="11906" w:h="16838"/>
          <w:pgMar w:top="1440" w:right="1800" w:bottom="1440" w:left="1800" w:header="851" w:footer="992" w:gutter="0"/>
          <w:cols w:space="425" w:num="1"/>
          <w:docGrid w:type="lines" w:linePitch="312" w:charSpace="0"/>
        </w:sectPr>
      </w:pPr>
    </w:p>
    <w:p>
      <w:pPr>
        <w:ind w:firstLine="420" w:firstLineChars="200"/>
        <w:rPr>
          <w:rFonts w:hint="eastAsia" w:ascii="宋体" w:hAnsi="宋体" w:eastAsia="宋体" w:cs="宋体"/>
          <w:sz w:val="21"/>
          <w:szCs w:val="21"/>
        </w:rPr>
      </w:pPr>
    </w:p>
    <w:p>
      <w:pPr>
        <w:ind w:firstLine="420" w:firstLineChars="200"/>
        <w:rPr>
          <w:rFonts w:hint="eastAsia" w:ascii="宋体" w:hAnsi="宋体" w:eastAsia="宋体" w:cs="宋体"/>
          <w:sz w:val="21"/>
          <w:szCs w:val="21"/>
        </w:rPr>
      </w:pPr>
    </w:p>
    <w:p>
      <w:pPr>
        <w:pStyle w:val="3"/>
      </w:pPr>
      <w:bookmarkStart w:id="89" w:name="_Toc26874"/>
      <w:bookmarkStart w:id="90" w:name="_Toc22384"/>
      <w:r>
        <w:rPr>
          <w:rFonts w:hint="eastAsia"/>
        </w:rPr>
        <w:t>第</w:t>
      </w:r>
      <w:r>
        <w:rPr>
          <w:rFonts w:hint="eastAsia"/>
          <w:lang w:val="en-US" w:eastAsia="zh-CN"/>
        </w:rPr>
        <w:t>五</w:t>
      </w:r>
      <w:r>
        <w:rPr>
          <w:rFonts w:hint="eastAsia"/>
        </w:rPr>
        <w:t>部分  谈判</w:t>
      </w:r>
      <w:r>
        <w:rPr>
          <w:rFonts w:hint="eastAsia"/>
          <w:lang w:val="en-US" w:eastAsia="zh-CN"/>
        </w:rPr>
        <w:t>应答</w:t>
      </w:r>
      <w:r>
        <w:rPr>
          <w:rFonts w:hint="eastAsia"/>
        </w:rPr>
        <w:t>文件格式</w:t>
      </w:r>
      <w:bookmarkEnd w:id="47"/>
      <w:bookmarkEnd w:id="89"/>
      <w:bookmarkEnd w:id="90"/>
    </w:p>
    <w:p/>
    <w:p/>
    <w:p/>
    <w:p/>
    <w:p/>
    <w:p/>
    <w:p/>
    <w:p/>
    <w:p>
      <w:pPr>
        <w:rPr>
          <w:sz w:val="32"/>
          <w:szCs w:val="40"/>
        </w:rPr>
      </w:pPr>
    </w:p>
    <w:p>
      <w:pPr>
        <w:outlineLvl w:val="0"/>
        <w:rPr>
          <w:sz w:val="40"/>
          <w:szCs w:val="48"/>
        </w:rPr>
      </w:pPr>
      <w:r>
        <w:rPr>
          <w:rFonts w:hint="eastAsia"/>
          <w:sz w:val="40"/>
          <w:szCs w:val="48"/>
          <w:u w:val="single"/>
        </w:rPr>
        <w:t xml:space="preserve">                         </w:t>
      </w:r>
      <w:bookmarkStart w:id="91" w:name="_Toc15536"/>
      <w:bookmarkStart w:id="92" w:name="_Toc29650"/>
      <w:r>
        <w:rPr>
          <w:rFonts w:hint="eastAsia"/>
          <w:sz w:val="40"/>
          <w:szCs w:val="48"/>
        </w:rPr>
        <w:t>（项目名称）</w:t>
      </w:r>
      <w:bookmarkEnd w:id="91"/>
      <w:bookmarkEnd w:id="92"/>
    </w:p>
    <w:p>
      <w:pPr>
        <w:jc w:val="center"/>
        <w:rPr>
          <w:sz w:val="40"/>
          <w:szCs w:val="48"/>
        </w:rPr>
      </w:pPr>
    </w:p>
    <w:p>
      <w:pPr>
        <w:jc w:val="center"/>
        <w:rPr>
          <w:sz w:val="40"/>
          <w:szCs w:val="48"/>
        </w:rPr>
      </w:pPr>
    </w:p>
    <w:p>
      <w:pPr>
        <w:ind w:firstLine="1980" w:firstLineChars="495"/>
        <w:outlineLvl w:val="0"/>
        <w:rPr>
          <w:sz w:val="40"/>
          <w:szCs w:val="48"/>
        </w:rPr>
      </w:pPr>
      <w:bookmarkStart w:id="93" w:name="_Toc27756"/>
      <w:bookmarkStart w:id="94" w:name="_Toc5757"/>
      <w:r>
        <w:rPr>
          <w:sz w:val="40"/>
          <w:szCs w:val="48"/>
        </w:rPr>
        <w:t xml:space="preserve">谈 判 </w:t>
      </w:r>
      <w:r>
        <w:rPr>
          <w:rFonts w:hint="eastAsia"/>
          <w:sz w:val="40"/>
          <w:szCs w:val="48"/>
          <w:lang w:val="en-US" w:eastAsia="zh-CN"/>
        </w:rPr>
        <w:t>应 答</w:t>
      </w:r>
      <w:r>
        <w:rPr>
          <w:sz w:val="40"/>
          <w:szCs w:val="48"/>
        </w:rPr>
        <w:t xml:space="preserve"> 文 件</w:t>
      </w:r>
      <w:bookmarkEnd w:id="93"/>
      <w:bookmarkEnd w:id="94"/>
      <w:bookmarkStart w:id="95" w:name="_Toc256695440"/>
      <w:bookmarkStart w:id="96" w:name="_Toc256691564"/>
    </w:p>
    <w:p>
      <w:pPr>
        <w:ind w:firstLine="1980" w:firstLineChars="495"/>
        <w:rPr>
          <w:sz w:val="40"/>
          <w:szCs w:val="48"/>
        </w:rPr>
      </w:pPr>
    </w:p>
    <w:p>
      <w:pPr>
        <w:ind w:firstLine="1980" w:firstLineChars="495"/>
        <w:rPr>
          <w:sz w:val="40"/>
          <w:szCs w:val="48"/>
        </w:rPr>
      </w:pPr>
    </w:p>
    <w:p>
      <w:pPr>
        <w:ind w:firstLine="1980" w:firstLineChars="495"/>
        <w:rPr>
          <w:sz w:val="40"/>
          <w:szCs w:val="48"/>
        </w:rPr>
      </w:pPr>
    </w:p>
    <w:p>
      <w:pPr>
        <w:ind w:firstLine="1980" w:firstLineChars="495"/>
        <w:rPr>
          <w:sz w:val="40"/>
          <w:szCs w:val="48"/>
        </w:rPr>
      </w:pPr>
    </w:p>
    <w:p>
      <w:pPr>
        <w:ind w:firstLine="1980" w:firstLineChars="495"/>
        <w:rPr>
          <w:sz w:val="40"/>
          <w:szCs w:val="48"/>
        </w:rPr>
      </w:pPr>
    </w:p>
    <w:p>
      <w:pPr>
        <w:ind w:firstLine="1988" w:firstLineChars="495"/>
        <w:rPr>
          <w:rFonts w:ascii="宋体" w:hAnsi="宋体" w:eastAsia="宋体" w:cs="宋体"/>
          <w:b/>
          <w:bCs/>
          <w:sz w:val="40"/>
          <w:szCs w:val="48"/>
        </w:rPr>
      </w:pPr>
    </w:p>
    <w:p>
      <w:pPr>
        <w:ind w:firstLine="1584" w:firstLineChars="495"/>
        <w:outlineLvl w:val="0"/>
        <w:rPr>
          <w:rFonts w:ascii="宋体" w:hAnsi="宋体" w:eastAsia="宋体" w:cs="宋体"/>
          <w:sz w:val="32"/>
          <w:szCs w:val="32"/>
          <w:u w:val="single"/>
        </w:rPr>
      </w:pPr>
      <w:bookmarkStart w:id="97" w:name="_Toc9866"/>
      <w:bookmarkStart w:id="98" w:name="_Toc8954"/>
      <w:r>
        <w:rPr>
          <w:rFonts w:hint="eastAsia" w:ascii="宋体" w:hAnsi="宋体" w:eastAsia="宋体" w:cs="宋体"/>
          <w:sz w:val="32"/>
          <w:szCs w:val="32"/>
        </w:rPr>
        <w:t>投标人：</w:t>
      </w:r>
      <w:bookmarkEnd w:id="95"/>
      <w:bookmarkEnd w:id="96"/>
      <w:r>
        <w:rPr>
          <w:rFonts w:hint="eastAsia" w:ascii="宋体" w:hAnsi="宋体" w:eastAsia="宋体" w:cs="宋体"/>
          <w:sz w:val="32"/>
          <w:szCs w:val="32"/>
          <w:u w:val="single"/>
        </w:rPr>
        <w:t xml:space="preserve">                 （盖单位章）</w:t>
      </w:r>
      <w:bookmarkEnd w:id="97"/>
      <w:bookmarkEnd w:id="98"/>
    </w:p>
    <w:p>
      <w:pPr>
        <w:jc w:val="center"/>
        <w:rPr>
          <w:rFonts w:ascii="宋体" w:hAnsi="宋体" w:eastAsia="宋体" w:cs="宋体"/>
          <w:sz w:val="32"/>
          <w:szCs w:val="32"/>
          <w:u w:val="single"/>
        </w:rPr>
      </w:pPr>
      <w:r>
        <w:rPr>
          <w:rFonts w:hint="eastAsia" w:ascii="宋体" w:hAnsi="宋体" w:eastAsia="宋体" w:cs="宋体"/>
          <w:sz w:val="32"/>
          <w:szCs w:val="32"/>
        </w:rPr>
        <w:t xml:space="preserve">  法定代表人</w:t>
      </w:r>
      <w:r>
        <w:rPr>
          <w:rFonts w:hint="eastAsia" w:ascii="宋体" w:hAnsi="宋体" w:eastAsia="宋体" w:cs="宋体"/>
          <w:sz w:val="32"/>
          <w:szCs w:val="32"/>
          <w:u w:val="single"/>
        </w:rPr>
        <w:t>：              （签字）</w:t>
      </w:r>
    </w:p>
    <w:p>
      <w:pPr>
        <w:ind w:firstLine="1584" w:firstLineChars="495"/>
        <w:outlineLvl w:val="0"/>
        <w:rPr>
          <w:rFonts w:ascii="宋体" w:hAnsi="宋体" w:eastAsia="宋体" w:cs="宋体"/>
          <w:sz w:val="32"/>
          <w:szCs w:val="32"/>
        </w:rPr>
      </w:pPr>
      <w:bookmarkStart w:id="99" w:name="_Toc256691565"/>
      <w:bookmarkStart w:id="100" w:name="_Toc9439"/>
      <w:bookmarkStart w:id="101" w:name="_Toc9670"/>
      <w:bookmarkStart w:id="102" w:name="_Toc256695441"/>
      <w:r>
        <w:rPr>
          <w:rFonts w:hint="eastAsia" w:ascii="宋体" w:hAnsi="宋体" w:eastAsia="宋体" w:cs="宋体"/>
          <w:sz w:val="32"/>
          <w:szCs w:val="32"/>
        </w:rPr>
        <w:t>日期：</w:t>
      </w:r>
      <w:r>
        <w:rPr>
          <w:rFonts w:hint="eastAsia" w:ascii="宋体" w:hAnsi="宋体" w:eastAsia="宋体" w:cs="宋体"/>
          <w:sz w:val="32"/>
          <w:szCs w:val="32"/>
          <w:u w:val="single"/>
        </w:rPr>
        <w:t xml:space="preserve">       </w:t>
      </w:r>
      <w:r>
        <w:rPr>
          <w:rFonts w:hint="eastAsia" w:ascii="宋体" w:hAnsi="宋体" w:eastAsia="宋体" w:cs="宋体"/>
          <w:sz w:val="32"/>
          <w:szCs w:val="32"/>
        </w:rPr>
        <w:t>年</w:t>
      </w:r>
      <w:r>
        <w:rPr>
          <w:rFonts w:hint="eastAsia" w:ascii="宋体" w:hAnsi="宋体" w:eastAsia="宋体" w:cs="宋体"/>
          <w:sz w:val="32"/>
          <w:szCs w:val="32"/>
          <w:u w:val="single"/>
        </w:rPr>
        <w:t xml:space="preserve">       </w:t>
      </w:r>
      <w:r>
        <w:rPr>
          <w:rFonts w:hint="eastAsia" w:ascii="宋体" w:hAnsi="宋体" w:eastAsia="宋体" w:cs="宋体"/>
          <w:sz w:val="32"/>
          <w:szCs w:val="32"/>
        </w:rPr>
        <w:t>月</w:t>
      </w:r>
      <w:r>
        <w:rPr>
          <w:rFonts w:hint="eastAsia" w:ascii="宋体" w:hAnsi="宋体" w:eastAsia="宋体" w:cs="宋体"/>
          <w:sz w:val="32"/>
          <w:szCs w:val="32"/>
          <w:u w:val="single"/>
        </w:rPr>
        <w:t xml:space="preserve">      </w:t>
      </w:r>
      <w:r>
        <w:rPr>
          <w:rFonts w:hint="eastAsia" w:ascii="宋体" w:hAnsi="宋体" w:eastAsia="宋体" w:cs="宋体"/>
          <w:sz w:val="32"/>
          <w:szCs w:val="32"/>
        </w:rPr>
        <w:t>日</w:t>
      </w:r>
      <w:bookmarkEnd w:id="99"/>
      <w:bookmarkEnd w:id="100"/>
      <w:bookmarkEnd w:id="101"/>
      <w:bookmarkEnd w:id="102"/>
    </w:p>
    <w:p>
      <w:pPr>
        <w:spacing w:line="240" w:lineRule="atLeast"/>
        <w:ind w:firstLine="560" w:firstLineChars="200"/>
        <w:rPr>
          <w:rFonts w:ascii="仿宋_GB2312" w:eastAsia="仿宋_GB2312"/>
          <w:sz w:val="28"/>
          <w:szCs w:val="28"/>
        </w:rPr>
        <w:sectPr>
          <w:pgSz w:w="11906" w:h="16838"/>
          <w:pgMar w:top="1440" w:right="1800" w:bottom="1440" w:left="1800" w:header="851" w:footer="992" w:gutter="0"/>
          <w:cols w:space="425" w:num="1"/>
          <w:docGrid w:type="lines" w:linePitch="312" w:charSpace="0"/>
        </w:sectPr>
      </w:pPr>
      <w:bookmarkStart w:id="103" w:name="_Toc256695462"/>
      <w:bookmarkStart w:id="104" w:name="_Toc256691586"/>
    </w:p>
    <w:bookmarkEnd w:id="103"/>
    <w:bookmarkEnd w:id="104"/>
    <w:p>
      <w:pPr>
        <w:spacing w:line="276" w:lineRule="auto"/>
        <w:jc w:val="center"/>
        <w:outlineLvl w:val="0"/>
        <w:rPr>
          <w:rFonts w:eastAsiaTheme="minorEastAsia"/>
          <w:b/>
          <w:bCs/>
          <w:color w:val="auto"/>
          <w:sz w:val="30"/>
          <w:highlight w:val="none"/>
        </w:rPr>
      </w:pPr>
      <w:bookmarkStart w:id="105" w:name="_Toc394673848"/>
      <w:bookmarkStart w:id="106" w:name="_Toc414431081"/>
      <w:bookmarkStart w:id="107" w:name="_Toc414430943"/>
      <w:bookmarkStart w:id="108" w:name="_Toc3510"/>
      <w:bookmarkStart w:id="109" w:name="_Toc404177687"/>
      <w:bookmarkStart w:id="110" w:name="_Toc256516136"/>
      <w:bookmarkStart w:id="111" w:name="_Toc256588110"/>
      <w:bookmarkStart w:id="112" w:name="_Toc6790"/>
      <w:bookmarkStart w:id="113" w:name="_Toc256588112"/>
      <w:bookmarkStart w:id="114" w:name="_Toc256588111"/>
      <w:r>
        <w:rPr>
          <w:rFonts w:hint="eastAsia"/>
          <w:b/>
          <w:bCs/>
          <w:color w:val="auto"/>
          <w:sz w:val="30"/>
          <w:highlight w:val="none"/>
        </w:rPr>
        <w:t>目    录</w:t>
      </w:r>
    </w:p>
    <w:p>
      <w:pPr>
        <w:spacing w:line="276" w:lineRule="auto"/>
        <w:jc w:val="center"/>
        <w:rPr>
          <w:rFonts w:eastAsiaTheme="minorEastAsia"/>
          <w:b/>
          <w:bCs/>
          <w:color w:val="auto"/>
          <w:sz w:val="30"/>
          <w:highlight w:val="none"/>
        </w:rPr>
      </w:pPr>
    </w:p>
    <w:p>
      <w:pPr>
        <w:spacing w:before="60" w:beforeLines="25" w:after="60" w:afterLines="25" w:line="360" w:lineRule="auto"/>
        <w:ind w:firstLine="1038" w:firstLineChars="472"/>
        <w:outlineLvl w:val="0"/>
        <w:rPr>
          <w:rFonts w:ascii="宋体" w:hAnsi="宋体"/>
          <w:color w:val="auto"/>
          <w:sz w:val="22"/>
          <w:szCs w:val="21"/>
          <w:highlight w:val="none"/>
        </w:rPr>
      </w:pPr>
      <w:r>
        <w:rPr>
          <w:rFonts w:hint="eastAsia" w:ascii="宋体" w:hAnsi="宋体"/>
          <w:color w:val="auto"/>
          <w:sz w:val="22"/>
          <w:szCs w:val="20"/>
          <w:highlight w:val="none"/>
        </w:rPr>
        <w:t>（1）应答书</w:t>
      </w:r>
    </w:p>
    <w:p>
      <w:pPr>
        <w:spacing w:before="60" w:beforeLines="25" w:after="60" w:afterLines="25" w:line="360" w:lineRule="auto"/>
        <w:ind w:firstLine="1038" w:firstLineChars="472"/>
        <w:outlineLvl w:val="0"/>
        <w:rPr>
          <w:rFonts w:ascii="宋体" w:hAnsi="宋体"/>
          <w:color w:val="auto"/>
          <w:sz w:val="22"/>
          <w:szCs w:val="20"/>
          <w:highlight w:val="none"/>
        </w:rPr>
      </w:pPr>
      <w:r>
        <w:rPr>
          <w:rFonts w:hint="eastAsia" w:ascii="宋体" w:hAnsi="宋体"/>
          <w:color w:val="auto"/>
          <w:sz w:val="22"/>
          <w:szCs w:val="20"/>
          <w:highlight w:val="none"/>
        </w:rPr>
        <w:t>（</w:t>
      </w:r>
      <w:r>
        <w:rPr>
          <w:rFonts w:hint="eastAsia" w:ascii="宋体" w:hAnsi="宋体"/>
          <w:color w:val="auto"/>
          <w:sz w:val="22"/>
          <w:szCs w:val="20"/>
          <w:highlight w:val="none"/>
          <w:lang w:val="en-US" w:eastAsia="zh-CN"/>
        </w:rPr>
        <w:t>2</w:t>
      </w:r>
      <w:r>
        <w:rPr>
          <w:rFonts w:hint="eastAsia" w:ascii="宋体" w:hAnsi="宋体"/>
          <w:color w:val="auto"/>
          <w:sz w:val="22"/>
          <w:szCs w:val="20"/>
          <w:highlight w:val="none"/>
        </w:rPr>
        <w:t>）谈判报价表</w:t>
      </w:r>
    </w:p>
    <w:p>
      <w:pPr>
        <w:spacing w:before="60" w:beforeLines="25" w:after="60" w:afterLines="25" w:line="360" w:lineRule="auto"/>
        <w:ind w:firstLine="1038" w:firstLineChars="472"/>
        <w:outlineLvl w:val="0"/>
        <w:rPr>
          <w:rFonts w:ascii="宋体" w:hAnsi="宋体"/>
          <w:color w:val="auto"/>
          <w:sz w:val="22"/>
          <w:szCs w:val="20"/>
          <w:highlight w:val="none"/>
        </w:rPr>
      </w:pPr>
      <w:r>
        <w:rPr>
          <w:rFonts w:hint="eastAsia" w:ascii="宋体" w:hAnsi="宋体"/>
          <w:color w:val="auto"/>
          <w:sz w:val="22"/>
          <w:szCs w:val="20"/>
          <w:highlight w:val="none"/>
        </w:rPr>
        <w:t>（</w:t>
      </w:r>
      <w:r>
        <w:rPr>
          <w:rFonts w:hint="eastAsia" w:ascii="宋体" w:hAnsi="宋体"/>
          <w:color w:val="auto"/>
          <w:sz w:val="22"/>
          <w:szCs w:val="20"/>
          <w:highlight w:val="none"/>
          <w:lang w:val="en-US" w:eastAsia="zh-CN"/>
        </w:rPr>
        <w:t>3</w:t>
      </w:r>
      <w:r>
        <w:rPr>
          <w:rFonts w:hint="eastAsia" w:ascii="宋体" w:hAnsi="宋体"/>
          <w:color w:val="auto"/>
          <w:sz w:val="22"/>
          <w:szCs w:val="20"/>
          <w:highlight w:val="none"/>
        </w:rPr>
        <w:t>）法定代表人资格证明书</w:t>
      </w:r>
    </w:p>
    <w:p>
      <w:pPr>
        <w:spacing w:before="60" w:beforeLines="25" w:after="60" w:afterLines="25" w:line="360" w:lineRule="auto"/>
        <w:ind w:firstLine="1038" w:firstLineChars="472"/>
        <w:outlineLvl w:val="0"/>
        <w:rPr>
          <w:rFonts w:ascii="宋体" w:hAnsi="宋体"/>
          <w:color w:val="auto"/>
          <w:sz w:val="22"/>
          <w:szCs w:val="20"/>
          <w:highlight w:val="none"/>
        </w:rPr>
      </w:pPr>
      <w:r>
        <w:rPr>
          <w:rFonts w:hint="eastAsia" w:ascii="宋体" w:hAnsi="宋体"/>
          <w:color w:val="auto"/>
          <w:sz w:val="22"/>
          <w:szCs w:val="20"/>
          <w:highlight w:val="none"/>
        </w:rPr>
        <w:t>（</w:t>
      </w:r>
      <w:r>
        <w:rPr>
          <w:rFonts w:hint="eastAsia" w:ascii="宋体" w:hAnsi="宋体"/>
          <w:color w:val="auto"/>
          <w:sz w:val="22"/>
          <w:szCs w:val="20"/>
          <w:highlight w:val="none"/>
          <w:lang w:val="en-US" w:eastAsia="zh-CN"/>
        </w:rPr>
        <w:t>4</w:t>
      </w:r>
      <w:r>
        <w:rPr>
          <w:rFonts w:hint="eastAsia" w:ascii="宋体" w:hAnsi="宋体"/>
          <w:color w:val="auto"/>
          <w:sz w:val="22"/>
          <w:szCs w:val="20"/>
          <w:highlight w:val="none"/>
        </w:rPr>
        <w:t>）应答文件签署授权委托书</w:t>
      </w:r>
    </w:p>
    <w:p>
      <w:pPr>
        <w:spacing w:before="60" w:beforeLines="25" w:after="60" w:afterLines="25" w:line="360" w:lineRule="auto"/>
        <w:ind w:firstLine="1038" w:firstLineChars="472"/>
        <w:outlineLvl w:val="0"/>
        <w:rPr>
          <w:rFonts w:hint="eastAsia" w:ascii="宋体" w:hAnsi="宋体"/>
          <w:color w:val="auto"/>
          <w:sz w:val="22"/>
          <w:szCs w:val="20"/>
          <w:highlight w:val="none"/>
        </w:rPr>
      </w:pPr>
      <w:r>
        <w:rPr>
          <w:rFonts w:hint="eastAsia" w:ascii="宋体" w:hAnsi="宋体"/>
          <w:color w:val="auto"/>
          <w:sz w:val="22"/>
          <w:szCs w:val="20"/>
          <w:highlight w:val="none"/>
        </w:rPr>
        <w:t>（</w:t>
      </w:r>
      <w:r>
        <w:rPr>
          <w:rFonts w:hint="eastAsia" w:ascii="宋体" w:hAnsi="宋体"/>
          <w:color w:val="auto"/>
          <w:sz w:val="22"/>
          <w:szCs w:val="20"/>
          <w:highlight w:val="none"/>
          <w:lang w:val="en-US" w:eastAsia="zh-CN"/>
        </w:rPr>
        <w:t>5</w:t>
      </w:r>
      <w:r>
        <w:rPr>
          <w:rFonts w:hint="eastAsia" w:ascii="宋体" w:hAnsi="宋体"/>
          <w:color w:val="auto"/>
          <w:sz w:val="22"/>
          <w:szCs w:val="20"/>
          <w:highlight w:val="none"/>
        </w:rPr>
        <w:t>）实质性条款响应情况表</w:t>
      </w:r>
    </w:p>
    <w:p>
      <w:pPr>
        <w:spacing w:before="60" w:beforeLines="25" w:after="60" w:afterLines="25" w:line="360" w:lineRule="auto"/>
        <w:ind w:firstLine="1038" w:firstLineChars="472"/>
        <w:rPr>
          <w:rFonts w:hint="eastAsia" w:ascii="宋体" w:hAnsi="宋体" w:eastAsiaTheme="minorEastAsia"/>
          <w:color w:val="auto"/>
          <w:sz w:val="22"/>
          <w:szCs w:val="20"/>
          <w:highlight w:val="none"/>
          <w:lang w:eastAsia="zh-CN"/>
        </w:rPr>
      </w:pPr>
      <w:r>
        <w:rPr>
          <w:rFonts w:hint="eastAsia" w:ascii="宋体" w:hAnsi="宋体"/>
          <w:color w:val="auto"/>
          <w:sz w:val="22"/>
          <w:szCs w:val="20"/>
          <w:highlight w:val="none"/>
          <w:lang w:eastAsia="zh-CN"/>
        </w:rPr>
        <w:t>（</w:t>
      </w:r>
      <w:r>
        <w:rPr>
          <w:rFonts w:hint="eastAsia" w:ascii="宋体" w:hAnsi="宋体"/>
          <w:color w:val="auto"/>
          <w:sz w:val="22"/>
          <w:szCs w:val="20"/>
          <w:highlight w:val="none"/>
          <w:lang w:val="en-US" w:eastAsia="zh-CN"/>
        </w:rPr>
        <w:t>6</w:t>
      </w:r>
      <w:r>
        <w:rPr>
          <w:rFonts w:hint="eastAsia" w:ascii="宋体" w:hAnsi="宋体"/>
          <w:color w:val="auto"/>
          <w:sz w:val="22"/>
          <w:szCs w:val="20"/>
          <w:highlight w:val="none"/>
          <w:lang w:eastAsia="zh-CN"/>
        </w:rPr>
        <w:t>）</w:t>
      </w:r>
    </w:p>
    <w:p>
      <w:pPr>
        <w:spacing w:before="60" w:beforeLines="25" w:after="60" w:afterLines="25" w:line="360" w:lineRule="auto"/>
        <w:ind w:firstLine="1038" w:firstLineChars="472"/>
        <w:outlineLvl w:val="0"/>
        <w:rPr>
          <w:rFonts w:ascii="宋体" w:hAnsi="宋体"/>
          <w:color w:val="auto"/>
          <w:sz w:val="22"/>
          <w:szCs w:val="20"/>
          <w:highlight w:val="none"/>
        </w:rPr>
      </w:pPr>
      <w:r>
        <w:rPr>
          <w:rFonts w:hint="eastAsia" w:ascii="宋体" w:hAnsi="宋体"/>
          <w:color w:val="auto"/>
          <w:sz w:val="22"/>
          <w:szCs w:val="20"/>
          <w:highlight w:val="none"/>
        </w:rPr>
        <w:t>（</w:t>
      </w:r>
      <w:r>
        <w:rPr>
          <w:rFonts w:hint="eastAsia" w:ascii="宋体" w:hAnsi="宋体"/>
          <w:color w:val="auto"/>
          <w:sz w:val="22"/>
          <w:szCs w:val="20"/>
          <w:highlight w:val="none"/>
          <w:lang w:val="en-US" w:eastAsia="zh-CN"/>
        </w:rPr>
        <w:t>4</w:t>
      </w:r>
      <w:r>
        <w:rPr>
          <w:rFonts w:hint="eastAsia" w:ascii="宋体" w:hAnsi="宋体"/>
          <w:color w:val="auto"/>
          <w:sz w:val="22"/>
          <w:szCs w:val="20"/>
          <w:highlight w:val="none"/>
        </w:rPr>
        <w:t>）谈判文件要求的其他资料及谈判供应商认为需要补充的资料（格式自定）</w:t>
      </w:r>
    </w:p>
    <w:p>
      <w:pPr>
        <w:pStyle w:val="4"/>
        <w:outlineLvl w:val="0"/>
        <w:rPr>
          <w:rFonts w:hint="eastAsia"/>
        </w:rPr>
        <w:sectPr>
          <w:pgSz w:w="11906" w:h="16838"/>
          <w:pgMar w:top="1440" w:right="1800" w:bottom="1440" w:left="1800" w:header="851" w:footer="992" w:gutter="0"/>
          <w:cols w:space="425" w:num="1"/>
          <w:docGrid w:type="lines" w:linePitch="312" w:charSpace="0"/>
        </w:sectPr>
      </w:pPr>
    </w:p>
    <w:p>
      <w:pPr>
        <w:pStyle w:val="4"/>
        <w:outlineLvl w:val="1"/>
        <w:rPr>
          <w:rFonts w:hint="default" w:eastAsia="黑体"/>
          <w:lang w:val="en-US" w:eastAsia="zh-CN"/>
        </w:rPr>
      </w:pPr>
      <w:bookmarkStart w:id="115" w:name="_Toc717"/>
      <w:r>
        <w:rPr>
          <w:rFonts w:hint="eastAsia"/>
        </w:rPr>
        <w:t>一 、</w:t>
      </w:r>
      <w:bookmarkEnd w:id="105"/>
      <w:bookmarkEnd w:id="106"/>
      <w:bookmarkEnd w:id="107"/>
      <w:bookmarkEnd w:id="108"/>
      <w:bookmarkEnd w:id="109"/>
      <w:bookmarkEnd w:id="110"/>
      <w:bookmarkEnd w:id="111"/>
      <w:r>
        <w:rPr>
          <w:rFonts w:hint="eastAsia"/>
          <w:lang w:val="en-US" w:eastAsia="zh-CN"/>
        </w:rPr>
        <w:t>应答书</w:t>
      </w:r>
      <w:bookmarkEnd w:id="112"/>
      <w:bookmarkEnd w:id="115"/>
    </w:p>
    <w:p>
      <w:pPr>
        <w:keepNext/>
        <w:keepLines/>
        <w:spacing w:before="260" w:after="260"/>
        <w:jc w:val="center"/>
        <w:outlineLvl w:val="1"/>
        <w:rPr>
          <w:rFonts w:ascii="宋体" w:hAnsi="宋体"/>
          <w:b/>
          <w:bCs/>
          <w:color w:val="auto"/>
          <w:szCs w:val="20"/>
          <w:highlight w:val="none"/>
        </w:rPr>
      </w:pPr>
      <w:bookmarkStart w:id="116" w:name="_Toc24807"/>
      <w:bookmarkStart w:id="117" w:name="_Toc17294"/>
      <w:bookmarkStart w:id="118" w:name="_Toc404177688"/>
      <w:bookmarkStart w:id="119" w:name="_Toc394673849"/>
      <w:r>
        <w:rPr>
          <w:rFonts w:hint="eastAsia" w:ascii="宋体" w:hAnsi="宋体"/>
          <w:b/>
          <w:bCs/>
          <w:color w:val="auto"/>
          <w:szCs w:val="20"/>
          <w:highlight w:val="none"/>
        </w:rPr>
        <w:t>应答书</w:t>
      </w:r>
      <w:bookmarkEnd w:id="116"/>
      <w:bookmarkEnd w:id="117"/>
    </w:p>
    <w:p>
      <w:pPr>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rPr>
        <w:t>致：</w:t>
      </w:r>
      <w:r>
        <w:rPr>
          <w:rFonts w:hint="eastAsia" w:ascii="宋体" w:hAnsi="宋体"/>
          <w:color w:val="auto"/>
          <w:szCs w:val="21"/>
          <w:highlight w:val="none"/>
          <w:u w:val="single"/>
          <w:lang w:val="en-US" w:eastAsia="zh-CN"/>
        </w:rPr>
        <w:t xml:space="preserve">             </w:t>
      </w:r>
    </w:p>
    <w:p>
      <w:pPr>
        <w:spacing w:line="360" w:lineRule="auto"/>
        <w:ind w:firstLine="560"/>
        <w:rPr>
          <w:rFonts w:hint="eastAsia" w:ascii="宋体" w:hAnsi="宋体" w:eastAsiaTheme="minorEastAsia"/>
          <w:color w:val="auto"/>
          <w:szCs w:val="21"/>
          <w:highlight w:val="none"/>
          <w:lang w:eastAsia="zh-CN"/>
        </w:rPr>
      </w:pPr>
      <w:r>
        <w:rPr>
          <w:rFonts w:hint="eastAsia" w:ascii="宋体" w:hAnsi="宋体"/>
          <w:color w:val="auto"/>
          <w:szCs w:val="21"/>
          <w:highlight w:val="none"/>
        </w:rPr>
        <w:t>根据贵方</w:t>
      </w:r>
      <w:r>
        <w:rPr>
          <w:rFonts w:hint="eastAsia" w:ascii="宋体" w:hAnsi="宋体"/>
          <w:color w:val="auto"/>
          <w:highlight w:val="none"/>
          <w:u w:val="single"/>
        </w:rPr>
        <w:t xml:space="preserve">  （项目名称）  </w:t>
      </w:r>
      <w:r>
        <w:rPr>
          <w:rFonts w:hint="eastAsia" w:ascii="宋体" w:hAnsi="宋体"/>
          <w:color w:val="auto"/>
          <w:highlight w:val="none"/>
        </w:rPr>
        <w:t>的</w:t>
      </w:r>
      <w:r>
        <w:rPr>
          <w:rFonts w:hint="eastAsia" w:ascii="宋体" w:hAnsi="宋体"/>
          <w:color w:val="auto"/>
          <w:highlight w:val="none"/>
          <w:lang w:val="en-US" w:eastAsia="zh-CN"/>
        </w:rPr>
        <w:t>竞争性谈判文件</w:t>
      </w:r>
      <w:r>
        <w:rPr>
          <w:rFonts w:hint="eastAsia" w:ascii="宋体" w:hAnsi="宋体"/>
          <w:color w:val="auto"/>
          <w:szCs w:val="21"/>
          <w:highlight w:val="none"/>
        </w:rPr>
        <w:t>，代表</w:t>
      </w:r>
      <w:r>
        <w:rPr>
          <w:rFonts w:hint="eastAsia" w:ascii="宋体" w:hAnsi="宋体"/>
          <w:color w:val="auto"/>
          <w:szCs w:val="21"/>
          <w:highlight w:val="none"/>
          <w:u w:val="single"/>
        </w:rPr>
        <w:t xml:space="preserve">    </w:t>
      </w:r>
      <w:r>
        <w:rPr>
          <w:rFonts w:hint="eastAsia" w:ascii="宋体" w:hAnsi="宋体"/>
          <w:color w:val="auto"/>
          <w:szCs w:val="21"/>
          <w:highlight w:val="none"/>
        </w:rPr>
        <w:t>（姓名、职务）经正式授权并代表</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（谈判供应商名称、地址）提供应答文件</w:t>
      </w:r>
      <w:r>
        <w:rPr>
          <w:rFonts w:hint="eastAsia" w:ascii="宋体" w:hAnsi="宋体"/>
          <w:color w:val="auto"/>
          <w:szCs w:val="21"/>
          <w:highlight w:val="none"/>
          <w:lang w:eastAsia="zh-CN"/>
        </w:rPr>
        <w:t>。</w:t>
      </w:r>
    </w:p>
    <w:p>
      <w:pPr>
        <w:spacing w:line="360" w:lineRule="auto"/>
        <w:ind w:firstLine="560"/>
        <w:rPr>
          <w:rFonts w:ascii="宋体" w:hAnsi="宋体"/>
          <w:color w:val="auto"/>
          <w:szCs w:val="21"/>
          <w:highlight w:val="none"/>
        </w:rPr>
      </w:pPr>
      <w:r>
        <w:rPr>
          <w:rFonts w:hint="eastAsia" w:ascii="宋体" w:hAnsi="宋体"/>
          <w:color w:val="auto"/>
          <w:szCs w:val="21"/>
          <w:highlight w:val="none"/>
        </w:rPr>
        <w:t>据此函，代表宣布同意如下：</w:t>
      </w:r>
    </w:p>
    <w:p>
      <w:pPr>
        <w:tabs>
          <w:tab w:val="left" w:pos="360"/>
        </w:tabs>
        <w:spacing w:line="360" w:lineRule="auto"/>
        <w:ind w:firstLine="567"/>
        <w:rPr>
          <w:rFonts w:ascii="宋体" w:hAnsi="宋体"/>
          <w:color w:val="auto"/>
          <w:szCs w:val="21"/>
          <w:highlight w:val="none"/>
        </w:rPr>
      </w:pPr>
      <w:r>
        <w:rPr>
          <w:rFonts w:hint="eastAsia" w:ascii="宋体" w:hAnsi="宋体"/>
          <w:color w:val="auto"/>
          <w:szCs w:val="21"/>
          <w:highlight w:val="none"/>
        </w:rPr>
        <w:t>谈判价格（谈判报价）具体见“谈判报价表”；</w:t>
      </w:r>
    </w:p>
    <w:p>
      <w:pPr>
        <w:tabs>
          <w:tab w:val="left" w:pos="360"/>
        </w:tabs>
        <w:spacing w:line="360" w:lineRule="auto"/>
        <w:ind w:firstLine="567"/>
        <w:rPr>
          <w:rFonts w:ascii="宋体" w:hAnsi="宋体"/>
          <w:color w:val="auto"/>
          <w:szCs w:val="21"/>
          <w:highlight w:val="none"/>
        </w:rPr>
      </w:pPr>
      <w:r>
        <w:rPr>
          <w:rFonts w:hint="eastAsia" w:ascii="宋体" w:hAnsi="宋体"/>
          <w:color w:val="auto"/>
          <w:szCs w:val="21"/>
          <w:highlight w:val="none"/>
        </w:rPr>
        <w:t>将按谈判文件的规定履行合同责任和义务。</w:t>
      </w:r>
    </w:p>
    <w:p>
      <w:pPr>
        <w:tabs>
          <w:tab w:val="left" w:pos="360"/>
        </w:tabs>
        <w:spacing w:line="360" w:lineRule="auto"/>
        <w:ind w:firstLine="567"/>
        <w:rPr>
          <w:rFonts w:ascii="宋体" w:hAnsi="宋体"/>
          <w:color w:val="auto"/>
          <w:szCs w:val="21"/>
          <w:highlight w:val="none"/>
        </w:rPr>
      </w:pPr>
      <w:r>
        <w:rPr>
          <w:rFonts w:hint="eastAsia" w:ascii="宋体" w:hAnsi="宋体"/>
          <w:color w:val="auto"/>
          <w:szCs w:val="21"/>
          <w:highlight w:val="none"/>
        </w:rPr>
        <w:t>已详细审查全部谈判文件，包括项目名称、项目编号、谈判文件所有要约、项目需求、补充文件及公告（如果有的话）等，我们完全理解谈判文件（包括补充文件及公告）约定事宜，并同意放弃对</w:t>
      </w:r>
      <w:r>
        <w:rPr>
          <w:rFonts w:hint="eastAsia" w:ascii="宋体" w:hAnsi="宋体"/>
          <w:color w:val="auto"/>
          <w:szCs w:val="21"/>
          <w:highlight w:val="none"/>
          <w:lang w:val="en-US" w:eastAsia="zh-CN"/>
        </w:rPr>
        <w:t>谈判</w:t>
      </w:r>
      <w:r>
        <w:rPr>
          <w:rFonts w:hint="eastAsia" w:ascii="宋体" w:hAnsi="宋体"/>
          <w:color w:val="auto"/>
          <w:szCs w:val="21"/>
          <w:highlight w:val="none"/>
        </w:rPr>
        <w:t>文件（包括补充文件及公告）有不明及误解的权力。</w:t>
      </w:r>
    </w:p>
    <w:p>
      <w:pPr>
        <w:tabs>
          <w:tab w:val="left" w:pos="360"/>
        </w:tabs>
        <w:spacing w:line="360" w:lineRule="auto"/>
        <w:ind w:firstLine="567"/>
        <w:rPr>
          <w:rFonts w:ascii="宋体" w:hAnsi="宋体"/>
          <w:color w:val="auto"/>
          <w:szCs w:val="21"/>
          <w:highlight w:val="none"/>
        </w:rPr>
      </w:pPr>
      <w:r>
        <w:rPr>
          <w:rFonts w:hint="eastAsia" w:ascii="宋体" w:hAnsi="宋体"/>
          <w:color w:val="auto"/>
          <w:szCs w:val="21"/>
          <w:highlight w:val="none"/>
        </w:rPr>
        <w:t>本应答文件有效期为应答文件递交截止之日起</w:t>
      </w:r>
      <w:r>
        <w:rPr>
          <w:rFonts w:hint="eastAsia" w:ascii="宋体" w:hAnsi="宋体"/>
          <w:color w:val="auto"/>
          <w:szCs w:val="21"/>
          <w:highlight w:val="none"/>
          <w:lang w:val="en-US" w:eastAsia="zh-CN"/>
        </w:rPr>
        <w:t>六十日历日</w:t>
      </w:r>
      <w:r>
        <w:rPr>
          <w:rFonts w:hint="eastAsia" w:ascii="宋体" w:hAnsi="宋体"/>
          <w:color w:val="auto"/>
          <w:szCs w:val="21"/>
          <w:highlight w:val="none"/>
        </w:rPr>
        <w:t>；</w:t>
      </w:r>
    </w:p>
    <w:p>
      <w:pPr>
        <w:tabs>
          <w:tab w:val="left" w:pos="360"/>
        </w:tabs>
        <w:spacing w:line="360" w:lineRule="auto"/>
        <w:ind w:firstLine="567"/>
        <w:rPr>
          <w:rFonts w:ascii="宋体" w:hAnsi="宋体"/>
          <w:color w:val="auto"/>
          <w:szCs w:val="21"/>
          <w:highlight w:val="none"/>
        </w:rPr>
      </w:pPr>
      <w:r>
        <w:rPr>
          <w:rFonts w:hint="eastAsia" w:ascii="宋体" w:hAnsi="宋体"/>
          <w:color w:val="auto"/>
          <w:szCs w:val="21"/>
          <w:highlight w:val="none"/>
        </w:rPr>
        <w:t>同意提供按照贵方可能要求的，参与本次谈判有关的一切数据或资料。</w:t>
      </w:r>
    </w:p>
    <w:p>
      <w:pPr>
        <w:tabs>
          <w:tab w:val="left" w:pos="360"/>
        </w:tabs>
        <w:spacing w:line="360" w:lineRule="auto"/>
        <w:ind w:firstLine="567"/>
        <w:rPr>
          <w:rFonts w:ascii="宋体" w:hAnsi="宋体"/>
          <w:color w:val="auto"/>
          <w:szCs w:val="21"/>
          <w:highlight w:val="none"/>
        </w:rPr>
      </w:pPr>
      <w:r>
        <w:rPr>
          <w:rFonts w:hint="eastAsia" w:ascii="宋体" w:hAnsi="宋体"/>
          <w:color w:val="auto"/>
          <w:szCs w:val="21"/>
          <w:highlight w:val="none"/>
        </w:rPr>
        <w:t>与本项目有关的一切正式往来信函请寄：</w:t>
      </w:r>
    </w:p>
    <w:p>
      <w:pPr>
        <w:spacing w:line="360" w:lineRule="auto"/>
        <w:ind w:firstLine="560"/>
        <w:rPr>
          <w:rFonts w:ascii="宋体" w:hAnsi="宋体"/>
          <w:color w:val="auto"/>
          <w:szCs w:val="21"/>
          <w:highlight w:val="none"/>
        </w:rPr>
      </w:pPr>
      <w:r>
        <w:rPr>
          <w:rFonts w:hint="eastAsia" w:ascii="宋体" w:hAnsi="宋体"/>
          <w:color w:val="auto"/>
          <w:szCs w:val="21"/>
          <w:highlight w:val="none"/>
        </w:rPr>
        <w:t>地址：</w:t>
      </w:r>
    </w:p>
    <w:p>
      <w:pPr>
        <w:spacing w:line="360" w:lineRule="auto"/>
        <w:ind w:firstLine="560"/>
        <w:rPr>
          <w:rFonts w:ascii="宋体" w:hAnsi="宋体"/>
          <w:color w:val="auto"/>
          <w:szCs w:val="21"/>
          <w:highlight w:val="none"/>
        </w:rPr>
      </w:pPr>
      <w:r>
        <w:rPr>
          <w:rFonts w:hint="eastAsia" w:ascii="宋体" w:hAnsi="宋体"/>
          <w:color w:val="auto"/>
          <w:szCs w:val="21"/>
          <w:highlight w:val="none"/>
        </w:rPr>
        <w:t xml:space="preserve">邮政编码：                        </w:t>
      </w:r>
    </w:p>
    <w:p>
      <w:pPr>
        <w:spacing w:line="360" w:lineRule="auto"/>
        <w:ind w:firstLine="560"/>
        <w:rPr>
          <w:rFonts w:ascii="宋体" w:hAnsi="宋体"/>
          <w:color w:val="auto"/>
          <w:szCs w:val="21"/>
          <w:highlight w:val="none"/>
        </w:rPr>
      </w:pPr>
      <w:r>
        <w:rPr>
          <w:rFonts w:hint="eastAsia" w:ascii="宋体" w:hAnsi="宋体"/>
          <w:color w:val="auto"/>
          <w:szCs w:val="21"/>
          <w:highlight w:val="none"/>
        </w:rPr>
        <w:t xml:space="preserve">电话：                        </w:t>
      </w:r>
    </w:p>
    <w:p>
      <w:pPr>
        <w:spacing w:line="360" w:lineRule="auto"/>
        <w:ind w:firstLine="560"/>
        <w:rPr>
          <w:rFonts w:ascii="宋体" w:hAnsi="宋体"/>
          <w:color w:val="auto"/>
          <w:szCs w:val="21"/>
          <w:highlight w:val="none"/>
        </w:rPr>
      </w:pPr>
      <w:r>
        <w:rPr>
          <w:rFonts w:hint="eastAsia" w:ascii="宋体" w:hAnsi="宋体"/>
          <w:color w:val="auto"/>
          <w:szCs w:val="21"/>
          <w:highlight w:val="none"/>
        </w:rPr>
        <w:t xml:space="preserve">传真：                                      </w:t>
      </w:r>
    </w:p>
    <w:p>
      <w:pPr>
        <w:spacing w:line="360" w:lineRule="auto"/>
        <w:ind w:firstLine="560"/>
        <w:rPr>
          <w:rFonts w:ascii="宋体" w:hAnsi="宋体"/>
          <w:color w:val="auto"/>
          <w:szCs w:val="21"/>
          <w:highlight w:val="none"/>
        </w:rPr>
      </w:pPr>
      <w:r>
        <w:rPr>
          <w:rFonts w:hint="eastAsia" w:ascii="宋体" w:hAnsi="宋体"/>
          <w:color w:val="auto"/>
          <w:szCs w:val="21"/>
          <w:highlight w:val="none"/>
        </w:rPr>
        <w:t xml:space="preserve">谈判供应商名称：                            </w:t>
      </w:r>
    </w:p>
    <w:p>
      <w:pPr>
        <w:spacing w:line="360" w:lineRule="auto"/>
        <w:ind w:firstLine="560"/>
        <w:rPr>
          <w:rFonts w:ascii="宋体" w:hAnsi="宋体"/>
          <w:color w:val="auto"/>
          <w:szCs w:val="21"/>
          <w:highlight w:val="none"/>
        </w:rPr>
      </w:pPr>
      <w:r>
        <w:rPr>
          <w:rFonts w:hint="eastAsia" w:ascii="宋体" w:hAnsi="宋体"/>
          <w:color w:val="auto"/>
          <w:szCs w:val="21"/>
          <w:highlight w:val="none"/>
        </w:rPr>
        <w:t xml:space="preserve">日期：              </w:t>
      </w:r>
      <w:r>
        <w:rPr>
          <w:rFonts w:hint="eastAsia"/>
          <w:color w:val="auto"/>
          <w:highlight w:val="none"/>
        </w:rPr>
        <w:t xml:space="preserve">                   </w:t>
      </w:r>
    </w:p>
    <w:bookmarkEnd w:id="113"/>
    <w:bookmarkEnd w:id="114"/>
    <w:bookmarkEnd w:id="118"/>
    <w:bookmarkEnd w:id="119"/>
    <w:p>
      <w:pPr>
        <w:keepNext/>
        <w:keepLines/>
        <w:spacing w:before="260" w:after="260"/>
        <w:jc w:val="center"/>
        <w:outlineLvl w:val="1"/>
        <w:rPr>
          <w:rFonts w:hint="eastAsia" w:ascii="黑体" w:eastAsia="黑体"/>
          <w:b/>
          <w:color w:val="auto"/>
          <w:highlight w:val="none"/>
        </w:rPr>
        <w:sectPr>
          <w:pgSz w:w="11906" w:h="16838"/>
          <w:pgMar w:top="1440" w:right="1800" w:bottom="1440" w:left="1800" w:header="851" w:footer="992" w:gutter="0"/>
          <w:cols w:space="425" w:num="1"/>
          <w:docGrid w:type="lines" w:linePitch="312" w:charSpace="0"/>
        </w:sectPr>
      </w:pPr>
      <w:bookmarkStart w:id="120" w:name="_Toc19096"/>
    </w:p>
    <w:p>
      <w:pPr>
        <w:pStyle w:val="4"/>
        <w:keepNext/>
        <w:keepLines/>
        <w:spacing w:before="260" w:after="260"/>
        <w:jc w:val="center"/>
        <w:outlineLvl w:val="1"/>
        <w:rPr>
          <w:rFonts w:hint="eastAsia" w:ascii="Arial" w:eastAsia="黑体"/>
          <w:b/>
          <w:color w:val="auto"/>
          <w:highlight w:val="none"/>
        </w:rPr>
      </w:pPr>
      <w:bookmarkStart w:id="121" w:name="_Toc14008"/>
      <w:bookmarkStart w:id="122" w:name="_Toc22189"/>
      <w:r>
        <w:rPr>
          <w:rFonts w:hint="eastAsia"/>
          <w:b/>
          <w:lang w:val="en-US" w:eastAsia="zh-CN"/>
        </w:rPr>
        <w:t>二</w:t>
      </w:r>
      <w:r>
        <w:rPr>
          <w:rFonts w:hint="eastAsia" w:ascii="Arial" w:eastAsia="黑体"/>
          <w:b/>
          <w:color w:val="auto"/>
          <w:highlight w:val="none"/>
        </w:rPr>
        <w:t>、谈判报价表</w:t>
      </w:r>
      <w:bookmarkEnd w:id="121"/>
      <w:bookmarkEnd w:id="122"/>
    </w:p>
    <w:p>
      <w:pPr>
        <w:snapToGrid w:val="0"/>
        <w:spacing w:line="300" w:lineRule="auto"/>
        <w:ind w:firstLine="0" w:firstLineChars="0"/>
        <w:rPr>
          <w:rFonts w:hint="eastAsia" w:ascii="宋体" w:hAnsi="宋体"/>
          <w:bCs/>
          <w:snapToGrid w:val="0"/>
          <w:color w:val="auto"/>
          <w:szCs w:val="21"/>
          <w:highlight w:val="none"/>
        </w:rPr>
      </w:pPr>
    </w:p>
    <w:p>
      <w:pPr>
        <w:snapToGrid w:val="0"/>
        <w:spacing w:line="300" w:lineRule="auto"/>
        <w:ind w:firstLine="0" w:firstLineChars="0"/>
        <w:rPr>
          <w:rFonts w:ascii="宋体" w:hAnsi="宋体"/>
          <w:bCs/>
          <w:snapToGrid w:val="0"/>
          <w:color w:val="auto"/>
          <w:szCs w:val="21"/>
          <w:highlight w:val="none"/>
        </w:rPr>
      </w:pPr>
      <w:r>
        <w:rPr>
          <w:rFonts w:hint="eastAsia" w:ascii="宋体" w:hAnsi="宋体"/>
          <w:bCs/>
          <w:snapToGrid w:val="0"/>
          <w:color w:val="auto"/>
          <w:szCs w:val="21"/>
          <w:highlight w:val="none"/>
        </w:rPr>
        <w:t>谈判项目名称：</w:t>
      </w:r>
      <w:r>
        <w:rPr>
          <w:rFonts w:hint="eastAsia" w:ascii="宋体" w:hAnsi="宋体"/>
          <w:bCs/>
          <w:snapToGrid w:val="0"/>
          <w:color w:val="auto"/>
          <w:szCs w:val="21"/>
          <w:highlight w:val="none"/>
          <w:u w:val="single"/>
        </w:rPr>
        <w:t xml:space="preserve">                    </w:t>
      </w:r>
      <w:r>
        <w:rPr>
          <w:rFonts w:hint="eastAsia" w:ascii="宋体" w:hAnsi="宋体"/>
          <w:bCs/>
          <w:snapToGrid w:val="0"/>
          <w:color w:val="auto"/>
          <w:szCs w:val="21"/>
          <w:highlight w:val="none"/>
        </w:rPr>
        <w:t xml:space="preserve">                </w:t>
      </w:r>
    </w:p>
    <w:p>
      <w:pPr>
        <w:snapToGrid w:val="0"/>
        <w:spacing w:line="300" w:lineRule="auto"/>
        <w:rPr>
          <w:rFonts w:ascii="宋体" w:hAnsi="宋体"/>
          <w:bCs/>
          <w:snapToGrid w:val="0"/>
          <w:color w:val="auto"/>
          <w:szCs w:val="21"/>
          <w:highlight w:val="none"/>
        </w:rPr>
      </w:pPr>
      <w:r>
        <w:rPr>
          <w:rFonts w:hint="eastAsia" w:ascii="宋体" w:hAnsi="宋体"/>
          <w:bCs/>
          <w:snapToGrid w:val="0"/>
          <w:color w:val="auto"/>
          <w:szCs w:val="21"/>
          <w:highlight w:val="none"/>
        </w:rPr>
        <w:t>项 目 编 号：</w:t>
      </w:r>
      <w:r>
        <w:rPr>
          <w:rFonts w:hint="eastAsia" w:ascii="宋体" w:hAnsi="宋体"/>
          <w:bCs/>
          <w:snapToGrid w:val="0"/>
          <w:color w:val="auto"/>
          <w:szCs w:val="21"/>
          <w:highlight w:val="none"/>
          <w:u w:val="single"/>
        </w:rPr>
        <w:t xml:space="preserve">                     </w:t>
      </w:r>
      <w:r>
        <w:rPr>
          <w:rFonts w:hint="eastAsia" w:ascii="宋体" w:hAnsi="宋体"/>
          <w:bCs/>
          <w:snapToGrid w:val="0"/>
          <w:color w:val="auto"/>
          <w:szCs w:val="21"/>
          <w:highlight w:val="none"/>
        </w:rPr>
        <w:t xml:space="preserve">               单位： 人民币元</w:t>
      </w:r>
    </w:p>
    <w:tbl>
      <w:tblPr>
        <w:tblStyle w:val="15"/>
        <w:tblW w:w="749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5"/>
        <w:gridCol w:w="1850"/>
        <w:gridCol w:w="1692"/>
        <w:gridCol w:w="162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2335" w:type="dxa"/>
            <w:tcBorders>
              <w:top w:val="double" w:color="auto" w:sz="4" w:space="0"/>
              <w:bottom w:val="single" w:color="auto" w:sz="4" w:space="0"/>
            </w:tcBorders>
            <w:noWrap w:val="0"/>
            <w:vAlign w:val="center"/>
          </w:tcPr>
          <w:p>
            <w:pPr>
              <w:widowControl/>
              <w:adjustRightInd w:val="0"/>
              <w:snapToGrid w:val="0"/>
              <w:spacing w:line="360" w:lineRule="auto"/>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lang w:val="en-US" w:eastAsia="zh-CN"/>
              </w:rPr>
              <w:t>招标人</w:t>
            </w:r>
            <w:r>
              <w:rPr>
                <w:rFonts w:hint="eastAsia" w:ascii="宋体" w:hAnsi="宋体" w:eastAsia="宋体" w:cs="宋体"/>
                <w:snapToGrid w:val="0"/>
                <w:kern w:val="0"/>
                <w:sz w:val="21"/>
                <w:szCs w:val="21"/>
              </w:rPr>
              <w:t>分成比例</w:t>
            </w:r>
          </w:p>
        </w:tc>
        <w:tc>
          <w:tcPr>
            <w:tcW w:w="1850" w:type="dxa"/>
            <w:tcBorders>
              <w:top w:val="double" w:color="auto" w:sz="4" w:space="0"/>
              <w:bottom w:val="single" w:color="auto" w:sz="4" w:space="0"/>
            </w:tcBorders>
            <w:noWrap w:val="0"/>
            <w:vAlign w:val="center"/>
          </w:tcPr>
          <w:p>
            <w:pPr>
              <w:widowControl/>
              <w:adjustRightInd w:val="0"/>
              <w:snapToGrid w:val="0"/>
              <w:spacing w:line="360" w:lineRule="auto"/>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lang w:eastAsia="zh-CN"/>
              </w:rPr>
              <w:t>合作</w:t>
            </w:r>
            <w:r>
              <w:rPr>
                <w:rFonts w:hint="eastAsia" w:ascii="宋体" w:hAnsi="宋体" w:eastAsia="宋体" w:cs="宋体"/>
                <w:snapToGrid w:val="0"/>
                <w:kern w:val="0"/>
                <w:sz w:val="21"/>
                <w:szCs w:val="21"/>
              </w:rPr>
              <w:t>年限（年）</w:t>
            </w:r>
          </w:p>
        </w:tc>
        <w:tc>
          <w:tcPr>
            <w:tcW w:w="1692" w:type="dxa"/>
            <w:tcBorders>
              <w:top w:val="double" w:color="auto" w:sz="4" w:space="0"/>
              <w:bottom w:val="single" w:color="auto" w:sz="4" w:space="0"/>
            </w:tcBorders>
            <w:noWrap w:val="0"/>
            <w:vAlign w:val="center"/>
          </w:tcPr>
          <w:p>
            <w:pPr>
              <w:widowControl/>
              <w:adjustRightInd w:val="0"/>
              <w:snapToGrid w:val="0"/>
              <w:spacing w:line="360" w:lineRule="auto"/>
              <w:jc w:val="center"/>
              <w:rPr>
                <w:rFonts w:hint="eastAsia" w:ascii="宋体" w:hAnsi="宋体" w:eastAsia="宋体" w:cs="宋体"/>
                <w:snapToGrid w:val="0"/>
                <w:kern w:val="0"/>
                <w:sz w:val="21"/>
                <w:szCs w:val="21"/>
                <w:lang w:eastAsia="zh-CN"/>
              </w:rPr>
            </w:pPr>
            <w:r>
              <w:rPr>
                <w:rFonts w:hint="eastAsia" w:ascii="宋体" w:hAnsi="宋体" w:eastAsia="宋体" w:cs="宋体"/>
                <w:snapToGrid w:val="0"/>
                <w:kern w:val="0"/>
                <w:sz w:val="21"/>
                <w:szCs w:val="21"/>
                <w:lang w:eastAsia="zh-CN"/>
              </w:rPr>
              <w:t>工期</w:t>
            </w:r>
          </w:p>
        </w:tc>
        <w:tc>
          <w:tcPr>
            <w:tcW w:w="1622" w:type="dxa"/>
            <w:tcBorders>
              <w:top w:val="double" w:color="auto" w:sz="4" w:space="0"/>
              <w:bottom w:val="single" w:color="auto" w:sz="4" w:space="0"/>
            </w:tcBorders>
            <w:noWrap w:val="0"/>
            <w:vAlign w:val="center"/>
          </w:tcPr>
          <w:p>
            <w:pPr>
              <w:widowControl/>
              <w:adjustRightInd w:val="0"/>
              <w:snapToGrid w:val="0"/>
              <w:spacing w:line="360" w:lineRule="auto"/>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jc w:val="center"/>
        </w:trPr>
        <w:tc>
          <w:tcPr>
            <w:tcW w:w="2335" w:type="dxa"/>
            <w:tcBorders>
              <w:top w:val="single" w:color="auto" w:sz="4" w:space="0"/>
            </w:tcBorders>
            <w:noWrap w:val="0"/>
            <w:vAlign w:val="top"/>
          </w:tcPr>
          <w:p>
            <w:pPr>
              <w:widowControl/>
              <w:adjustRightInd w:val="0"/>
              <w:snapToGrid w:val="0"/>
              <w:spacing w:line="360" w:lineRule="auto"/>
              <w:jc w:val="center"/>
              <w:rPr>
                <w:rFonts w:hint="eastAsia" w:ascii="宋体" w:hAnsi="宋体" w:eastAsia="宋体" w:cs="宋体"/>
                <w:snapToGrid w:val="0"/>
                <w:kern w:val="0"/>
                <w:sz w:val="21"/>
                <w:szCs w:val="21"/>
              </w:rPr>
            </w:pPr>
          </w:p>
        </w:tc>
        <w:tc>
          <w:tcPr>
            <w:tcW w:w="1850" w:type="dxa"/>
            <w:tcBorders>
              <w:top w:val="single" w:color="auto" w:sz="4" w:space="0"/>
            </w:tcBorders>
            <w:noWrap w:val="0"/>
            <w:vAlign w:val="top"/>
          </w:tcPr>
          <w:p>
            <w:pPr>
              <w:pStyle w:val="10"/>
              <w:widowControl/>
              <w:pBdr>
                <w:bottom w:val="none" w:color="auto" w:sz="0" w:space="0"/>
              </w:pBdr>
              <w:tabs>
                <w:tab w:val="clear" w:pos="4153"/>
                <w:tab w:val="clear" w:pos="8306"/>
              </w:tabs>
              <w:adjustRightInd w:val="0"/>
              <w:spacing w:line="360" w:lineRule="auto"/>
              <w:rPr>
                <w:rFonts w:hint="eastAsia" w:ascii="宋体" w:hAnsi="宋体" w:eastAsia="宋体" w:cs="宋体"/>
                <w:snapToGrid w:val="0"/>
                <w:kern w:val="0"/>
                <w:sz w:val="21"/>
                <w:szCs w:val="21"/>
                <w:u w:val="single"/>
              </w:rPr>
            </w:pPr>
          </w:p>
        </w:tc>
        <w:tc>
          <w:tcPr>
            <w:tcW w:w="1692" w:type="dxa"/>
            <w:tcBorders>
              <w:top w:val="single" w:color="auto" w:sz="4" w:space="0"/>
            </w:tcBorders>
            <w:noWrap w:val="0"/>
            <w:vAlign w:val="center"/>
          </w:tcPr>
          <w:p>
            <w:pPr>
              <w:widowControl/>
              <w:adjustRightInd w:val="0"/>
              <w:snapToGrid w:val="0"/>
              <w:spacing w:line="360" w:lineRule="auto"/>
              <w:jc w:val="center"/>
              <w:rPr>
                <w:rFonts w:hint="eastAsia" w:ascii="宋体" w:hAnsi="宋体" w:eastAsia="宋体" w:cs="宋体"/>
                <w:snapToGrid w:val="0"/>
                <w:kern w:val="0"/>
                <w:sz w:val="21"/>
                <w:szCs w:val="21"/>
              </w:rPr>
            </w:pPr>
          </w:p>
        </w:tc>
        <w:tc>
          <w:tcPr>
            <w:tcW w:w="1622" w:type="dxa"/>
            <w:tcBorders>
              <w:top w:val="single" w:color="auto" w:sz="4" w:space="0"/>
            </w:tcBorders>
            <w:noWrap w:val="0"/>
            <w:vAlign w:val="center"/>
          </w:tcPr>
          <w:p>
            <w:pPr>
              <w:widowControl/>
              <w:adjustRightInd w:val="0"/>
              <w:snapToGrid w:val="0"/>
              <w:spacing w:line="360" w:lineRule="auto"/>
              <w:jc w:val="center"/>
              <w:rPr>
                <w:rFonts w:hint="eastAsia" w:ascii="宋体" w:hAnsi="宋体" w:eastAsia="宋体" w:cs="宋体"/>
                <w:snapToGrid w:val="0"/>
                <w:kern w:val="0"/>
                <w:sz w:val="21"/>
                <w:szCs w:val="21"/>
              </w:rPr>
            </w:pPr>
          </w:p>
        </w:tc>
      </w:tr>
    </w:tbl>
    <w:p>
      <w:pPr>
        <w:widowControl/>
        <w:adjustRightInd w:val="0"/>
        <w:snapToGrid w:val="0"/>
        <w:spacing w:line="360" w:lineRule="auto"/>
        <w:ind w:left="735" w:hanging="735" w:hangingChars="350"/>
        <w:rPr>
          <w:rFonts w:hint="default" w:ascii="宋体" w:hAnsi="宋体" w:eastAsia="宋体" w:cs="宋体"/>
          <w:snapToGrid w:val="0"/>
          <w:kern w:val="0"/>
          <w:sz w:val="21"/>
          <w:szCs w:val="21"/>
          <w:lang w:val="en-US" w:eastAsia="zh-CN"/>
        </w:rPr>
      </w:pPr>
      <w:r>
        <w:rPr>
          <w:rFonts w:hint="eastAsia" w:ascii="宋体" w:hAnsi="宋体" w:eastAsia="宋体" w:cs="宋体"/>
          <w:snapToGrid w:val="0"/>
          <w:kern w:val="0"/>
          <w:sz w:val="21"/>
          <w:szCs w:val="21"/>
        </w:rPr>
        <w:t>注：</w:t>
      </w:r>
    </w:p>
    <w:p>
      <w:pPr>
        <w:widowControl/>
        <w:numPr>
          <w:ilvl w:val="0"/>
          <w:numId w:val="2"/>
        </w:numPr>
        <w:adjustRightInd w:val="0"/>
        <w:snapToGrid w:val="0"/>
        <w:spacing w:line="360" w:lineRule="auto"/>
        <w:ind w:firstLine="359" w:firstLineChars="171"/>
        <w:rPr>
          <w:rFonts w:hint="eastAsia" w:ascii="宋体" w:hAnsi="宋体" w:eastAsia="宋体" w:cs="宋体"/>
          <w:snapToGrid w:val="0"/>
          <w:kern w:val="0"/>
          <w:sz w:val="21"/>
          <w:szCs w:val="21"/>
          <w:lang w:val="en-US" w:eastAsia="zh-CN"/>
        </w:rPr>
      </w:pPr>
      <w:r>
        <w:rPr>
          <w:rFonts w:hint="eastAsia" w:ascii="宋体" w:hAnsi="宋体" w:eastAsia="宋体" w:cs="宋体"/>
          <w:snapToGrid w:val="0"/>
          <w:kern w:val="0"/>
          <w:sz w:val="21"/>
          <w:szCs w:val="21"/>
        </w:rPr>
        <w:t>“</w:t>
      </w:r>
      <w:r>
        <w:rPr>
          <w:rFonts w:hint="eastAsia" w:ascii="宋体" w:hAnsi="宋体" w:eastAsia="宋体" w:cs="宋体"/>
          <w:snapToGrid w:val="0"/>
          <w:kern w:val="0"/>
          <w:sz w:val="21"/>
          <w:szCs w:val="21"/>
          <w:lang w:val="en-US" w:eastAsia="zh-CN"/>
        </w:rPr>
        <w:t>招标人</w:t>
      </w:r>
      <w:r>
        <w:rPr>
          <w:rFonts w:hint="eastAsia" w:ascii="宋体" w:hAnsi="宋体" w:eastAsia="宋体" w:cs="宋体"/>
          <w:snapToGrid w:val="0"/>
          <w:kern w:val="0"/>
          <w:sz w:val="21"/>
          <w:szCs w:val="21"/>
        </w:rPr>
        <w:t>分成比例”请填写数字，</w:t>
      </w:r>
      <w:r>
        <w:rPr>
          <w:rFonts w:hint="eastAsia" w:ascii="宋体" w:hAnsi="宋体" w:eastAsia="宋体" w:cs="宋体"/>
          <w:snapToGrid w:val="0"/>
          <w:kern w:val="0"/>
          <w:sz w:val="21"/>
          <w:szCs w:val="21"/>
          <w:lang w:val="en-US" w:eastAsia="zh-CN"/>
        </w:rPr>
        <w:t>小数点后保留两位数字。</w:t>
      </w:r>
      <w:r>
        <w:rPr>
          <w:rFonts w:hint="eastAsia" w:ascii="宋体" w:hAnsi="宋体" w:eastAsia="宋体" w:cs="宋体"/>
          <w:snapToGrid w:val="0"/>
          <w:kern w:val="0"/>
          <w:sz w:val="21"/>
          <w:szCs w:val="21"/>
        </w:rPr>
        <w:t>如</w:t>
      </w:r>
      <w:r>
        <w:rPr>
          <w:rFonts w:hint="eastAsia" w:ascii="宋体" w:hAnsi="宋体" w:eastAsia="宋体" w:cs="宋体"/>
          <w:snapToGrid w:val="0"/>
          <w:kern w:val="0"/>
          <w:sz w:val="21"/>
          <w:szCs w:val="21"/>
          <w:lang w:val="en-US" w:eastAsia="zh-CN"/>
        </w:rPr>
        <w:t>归招标人的分成比例为90%</w:t>
      </w:r>
      <w:r>
        <w:rPr>
          <w:rFonts w:hint="eastAsia" w:ascii="宋体" w:hAnsi="宋体" w:eastAsia="宋体" w:cs="宋体"/>
          <w:snapToGrid w:val="0"/>
          <w:kern w:val="0"/>
          <w:sz w:val="21"/>
          <w:szCs w:val="21"/>
        </w:rPr>
        <w:t>，则填写90</w:t>
      </w:r>
      <w:r>
        <w:rPr>
          <w:rFonts w:hint="eastAsia" w:ascii="宋体" w:hAnsi="宋体" w:eastAsia="宋体" w:cs="宋体"/>
          <w:snapToGrid w:val="0"/>
          <w:kern w:val="0"/>
          <w:sz w:val="21"/>
          <w:szCs w:val="21"/>
          <w:lang w:val="en-US" w:eastAsia="zh-CN"/>
        </w:rPr>
        <w:t>.00。</w:t>
      </w:r>
    </w:p>
    <w:p>
      <w:pPr>
        <w:widowControl/>
        <w:adjustRightInd w:val="0"/>
        <w:snapToGrid w:val="0"/>
        <w:spacing w:line="360" w:lineRule="auto"/>
        <w:ind w:firstLine="359" w:firstLineChars="171"/>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lang w:val="en-US" w:eastAsia="zh-CN"/>
        </w:rPr>
        <w:t>2</w:t>
      </w:r>
      <w:r>
        <w:rPr>
          <w:rFonts w:hint="eastAsia" w:ascii="宋体" w:hAnsi="宋体" w:eastAsia="宋体" w:cs="宋体"/>
          <w:snapToGrid w:val="0"/>
          <w:kern w:val="0"/>
          <w:sz w:val="21"/>
          <w:szCs w:val="21"/>
        </w:rPr>
        <w:t>、投标人如果需要对报价或其它内容加以说明，可另附表说明。</w:t>
      </w:r>
    </w:p>
    <w:p>
      <w:pPr>
        <w:widowControl/>
        <w:adjustRightInd w:val="0"/>
        <w:snapToGrid w:val="0"/>
        <w:spacing w:line="360" w:lineRule="auto"/>
        <w:ind w:firstLine="359" w:firstLineChars="171"/>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lang w:val="en-US" w:eastAsia="zh-CN"/>
        </w:rPr>
        <w:t>3</w:t>
      </w:r>
      <w:r>
        <w:rPr>
          <w:rFonts w:hint="eastAsia" w:ascii="宋体" w:hAnsi="宋体" w:eastAsia="宋体" w:cs="宋体"/>
          <w:snapToGrid w:val="0"/>
          <w:kern w:val="0"/>
          <w:sz w:val="21"/>
          <w:szCs w:val="21"/>
        </w:rPr>
        <w:t>、结算货币：本项目以人民币结算</w:t>
      </w:r>
    </w:p>
    <w:p>
      <w:pPr>
        <w:ind w:firstLine="420"/>
        <w:rPr>
          <w:rFonts w:hint="eastAsia" w:ascii="宋体" w:hAnsi="宋体" w:eastAsia="宋体" w:cs="宋体"/>
          <w:color w:val="000000" w:themeColor="text1"/>
          <w:sz w:val="21"/>
          <w:szCs w:val="21"/>
          <w14:textFill>
            <w14:solidFill>
              <w14:schemeClr w14:val="tx1"/>
            </w14:solidFill>
          </w14:textFill>
        </w:rPr>
      </w:pPr>
    </w:p>
    <w:p>
      <w:pPr>
        <w:ind w:firstLine="420"/>
        <w:jc w:val="left"/>
        <w:rPr>
          <w:rFonts w:hint="eastAsia" w:ascii="宋体" w:hAnsi="宋体" w:eastAsia="宋体" w:cs="宋体"/>
          <w:color w:val="000000" w:themeColor="text1"/>
          <w:sz w:val="21"/>
          <w:szCs w:val="21"/>
          <w14:textFill>
            <w14:solidFill>
              <w14:schemeClr w14:val="tx1"/>
            </w14:solidFill>
          </w14:textFill>
        </w:rPr>
      </w:pPr>
    </w:p>
    <w:p>
      <w:pPr>
        <w:ind w:firstLine="420"/>
        <w:jc w:val="left"/>
        <w:rPr>
          <w:rFonts w:hint="eastAsia" w:ascii="宋体" w:hAnsi="宋体" w:eastAsia="宋体" w:cs="宋体"/>
          <w:color w:val="000000" w:themeColor="text1"/>
          <w:sz w:val="21"/>
          <w:szCs w:val="21"/>
          <w14:textFill>
            <w14:solidFill>
              <w14:schemeClr w14:val="tx1"/>
            </w14:solidFill>
          </w14:textFill>
        </w:rPr>
      </w:pPr>
    </w:p>
    <w:p>
      <w:pPr>
        <w:ind w:firstLine="3150" w:firstLineChars="15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法定代表人或其授权委托人（</w:t>
      </w:r>
      <w:r>
        <w:rPr>
          <w:rFonts w:hint="eastAsia" w:ascii="宋体" w:hAnsi="宋体" w:eastAsia="宋体" w:cs="宋体"/>
          <w:b/>
          <w:bCs/>
          <w:color w:val="000000" w:themeColor="text1"/>
          <w:sz w:val="21"/>
          <w:szCs w:val="21"/>
          <w14:textFill>
            <w14:solidFill>
              <w14:schemeClr w14:val="tx1"/>
            </w14:solidFill>
          </w14:textFill>
        </w:rPr>
        <w:t>签名</w:t>
      </w:r>
      <w:r>
        <w:rPr>
          <w:rFonts w:hint="eastAsia" w:ascii="宋体" w:hAnsi="宋体" w:eastAsia="宋体" w:cs="宋体"/>
          <w:color w:val="000000" w:themeColor="text1"/>
          <w:sz w:val="21"/>
          <w:szCs w:val="21"/>
          <w14:textFill>
            <w14:solidFill>
              <w14:schemeClr w14:val="tx1"/>
            </w14:solidFill>
          </w14:textFill>
        </w:rPr>
        <w:t>）：</w:t>
      </w:r>
    </w:p>
    <w:p>
      <w:pPr>
        <w:jc w:val="left"/>
        <w:rPr>
          <w:rFonts w:hint="eastAsia" w:ascii="宋体" w:hAnsi="宋体" w:eastAsia="宋体" w:cs="宋体"/>
          <w:color w:val="000000" w:themeColor="text1"/>
          <w:sz w:val="21"/>
          <w:szCs w:val="21"/>
          <w14:textFill>
            <w14:solidFill>
              <w14:schemeClr w14:val="tx1"/>
            </w14:solidFill>
          </w14:textFill>
        </w:rPr>
      </w:pPr>
    </w:p>
    <w:p>
      <w:pPr>
        <w:ind w:firstLine="3150" w:firstLineChars="15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olor w:val="auto"/>
          <w:szCs w:val="21"/>
          <w:highlight w:val="none"/>
        </w:rPr>
        <w:t>谈判供应商</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b/>
          <w:bCs/>
          <w:color w:val="000000" w:themeColor="text1"/>
          <w:sz w:val="21"/>
          <w:szCs w:val="21"/>
          <w14:textFill>
            <w14:solidFill>
              <w14:schemeClr w14:val="tx1"/>
            </w14:solidFill>
          </w14:textFill>
        </w:rPr>
        <w:t>盖公章</w:t>
      </w:r>
      <w:r>
        <w:rPr>
          <w:rFonts w:hint="eastAsia" w:ascii="宋体" w:hAnsi="宋体" w:eastAsia="宋体" w:cs="宋体"/>
          <w:color w:val="000000" w:themeColor="text1"/>
          <w:sz w:val="21"/>
          <w:szCs w:val="21"/>
          <w14:textFill>
            <w14:solidFill>
              <w14:schemeClr w14:val="tx1"/>
            </w14:solidFill>
          </w14:textFill>
        </w:rPr>
        <w:t>）：</w:t>
      </w:r>
    </w:p>
    <w:p>
      <w:pPr>
        <w:spacing w:line="300" w:lineRule="auto"/>
        <w:ind w:firstLine="2520" w:firstLineChars="1200"/>
        <w:rPr>
          <w:rFonts w:hint="eastAsia" w:ascii="宋体" w:hAnsi="宋体"/>
          <w:color w:val="auto"/>
          <w:szCs w:val="21"/>
          <w:highlight w:val="none"/>
        </w:rPr>
      </w:pPr>
      <w:r>
        <w:rPr>
          <w:rFonts w:hint="eastAsia" w:ascii="宋体" w:hAnsi="宋体"/>
          <w:color w:val="auto"/>
          <w:szCs w:val="21"/>
          <w:highlight w:val="none"/>
        </w:rPr>
        <w:t xml:space="preserve">                                    </w:t>
      </w:r>
    </w:p>
    <w:p>
      <w:pPr>
        <w:spacing w:line="300" w:lineRule="auto"/>
        <w:ind w:firstLine="3150" w:firstLineChars="1500"/>
        <w:rPr>
          <w:rFonts w:ascii="宋体" w:hAnsi="宋体"/>
          <w:color w:val="auto"/>
          <w:szCs w:val="21"/>
          <w:highlight w:val="none"/>
        </w:rPr>
      </w:pPr>
      <w:r>
        <w:rPr>
          <w:rFonts w:hint="eastAsia" w:ascii="宋体" w:hAnsi="宋体"/>
          <w:color w:val="auto"/>
          <w:szCs w:val="21"/>
          <w:highlight w:val="none"/>
        </w:rPr>
        <w:t>日期：  年  月   日</w:t>
      </w:r>
    </w:p>
    <w:p>
      <w:pPr>
        <w:pStyle w:val="4"/>
        <w:rPr>
          <w:rFonts w:hint="eastAsia"/>
        </w:rPr>
        <w:sectPr>
          <w:pgSz w:w="11906" w:h="16838"/>
          <w:pgMar w:top="1440" w:right="1800" w:bottom="1440" w:left="1800" w:header="851" w:footer="992" w:gutter="0"/>
          <w:cols w:space="425" w:num="1"/>
          <w:docGrid w:type="lines" w:linePitch="312" w:charSpace="0"/>
        </w:sectPr>
      </w:pPr>
    </w:p>
    <w:p>
      <w:pPr>
        <w:pStyle w:val="4"/>
        <w:keepNext/>
        <w:keepLines/>
        <w:spacing w:before="260" w:after="260"/>
        <w:jc w:val="center"/>
        <w:outlineLvl w:val="1"/>
        <w:rPr>
          <w:rFonts w:hint="eastAsia" w:ascii="Arial" w:eastAsia="黑体"/>
          <w:b/>
          <w:color w:val="auto"/>
          <w:highlight w:val="none"/>
        </w:rPr>
      </w:pPr>
      <w:bookmarkStart w:id="123" w:name="_Toc11801"/>
      <w:bookmarkStart w:id="124" w:name="_Toc13783"/>
      <w:r>
        <w:rPr>
          <w:rFonts w:hint="eastAsia"/>
          <w:b/>
          <w:lang w:val="en-US" w:eastAsia="zh-CN"/>
        </w:rPr>
        <w:t>三</w:t>
      </w:r>
      <w:r>
        <w:rPr>
          <w:rFonts w:hint="eastAsia" w:ascii="Arial" w:eastAsia="黑体"/>
          <w:b/>
          <w:color w:val="auto"/>
          <w:highlight w:val="none"/>
        </w:rPr>
        <w:t>、法定代表人（负责人）资格证明书</w:t>
      </w:r>
      <w:bookmarkEnd w:id="123"/>
      <w:bookmarkEnd w:id="124"/>
    </w:p>
    <w:p>
      <w:pPr>
        <w:rPr>
          <w:color w:val="auto"/>
          <w:highlight w:val="none"/>
        </w:rPr>
      </w:pPr>
    </w:p>
    <w:p>
      <w:pPr>
        <w:spacing w:line="360" w:lineRule="auto"/>
        <w:rPr>
          <w:color w:val="auto"/>
          <w:szCs w:val="21"/>
          <w:highlight w:val="none"/>
        </w:rPr>
      </w:pPr>
      <w:r>
        <w:rPr>
          <w:rFonts w:hint="eastAsia"/>
          <w:color w:val="auto"/>
          <w:szCs w:val="21"/>
          <w:highlight w:val="none"/>
        </w:rPr>
        <w:t xml:space="preserve">   </w:t>
      </w:r>
      <w:r>
        <w:rPr>
          <w:rFonts w:hint="eastAsia"/>
          <w:color w:val="auto"/>
          <w:szCs w:val="21"/>
          <w:highlight w:val="none"/>
          <w:u w:val="single"/>
        </w:rPr>
        <w:t xml:space="preserve">         </w:t>
      </w:r>
      <w:r>
        <w:rPr>
          <w:rFonts w:hint="eastAsia"/>
          <w:color w:val="auto"/>
          <w:szCs w:val="21"/>
          <w:highlight w:val="none"/>
        </w:rPr>
        <w:t>同志，现任我单位</w:t>
      </w:r>
      <w:r>
        <w:rPr>
          <w:rFonts w:hint="eastAsia"/>
          <w:color w:val="auto"/>
          <w:szCs w:val="21"/>
          <w:highlight w:val="none"/>
          <w:u w:val="single"/>
        </w:rPr>
        <w:t xml:space="preserve">         </w:t>
      </w:r>
      <w:r>
        <w:rPr>
          <w:rFonts w:hint="eastAsia"/>
          <w:color w:val="auto"/>
          <w:szCs w:val="21"/>
          <w:highlight w:val="none"/>
        </w:rPr>
        <w:t>职务，为法定代表人</w:t>
      </w:r>
      <w:r>
        <w:rPr>
          <w:rFonts w:hint="eastAsia" w:ascii="黑体" w:eastAsia="黑体"/>
          <w:b/>
          <w:color w:val="auto"/>
          <w:highlight w:val="none"/>
        </w:rPr>
        <w:t>（负责人）</w:t>
      </w:r>
      <w:r>
        <w:rPr>
          <w:rFonts w:hint="eastAsia"/>
          <w:color w:val="auto"/>
          <w:szCs w:val="21"/>
          <w:highlight w:val="none"/>
        </w:rPr>
        <w:t>，特此证明。</w:t>
      </w:r>
    </w:p>
    <w:p>
      <w:pPr>
        <w:spacing w:line="360" w:lineRule="auto"/>
        <w:rPr>
          <w:color w:val="auto"/>
          <w:szCs w:val="21"/>
          <w:highlight w:val="none"/>
        </w:rPr>
      </w:pPr>
      <w:r>
        <w:rPr>
          <w:rFonts w:hint="eastAsia"/>
          <w:color w:val="auto"/>
          <w:szCs w:val="21"/>
          <w:highlight w:val="none"/>
        </w:rPr>
        <w:t>说明：1、法定代表人为企业事业单位、国家机关、社会团体的主要负责人。</w:t>
      </w:r>
    </w:p>
    <w:p>
      <w:pPr>
        <w:rPr>
          <w:color w:val="auto"/>
          <w:szCs w:val="21"/>
          <w:highlight w:val="none"/>
        </w:rPr>
      </w:pPr>
      <w:r>
        <w:rPr>
          <w:rFonts w:hint="eastAsia"/>
          <w:color w:val="auto"/>
          <w:szCs w:val="21"/>
          <w:highlight w:val="none"/>
        </w:rPr>
        <w:t xml:space="preserve">      2、内容必须填写真实、清楚，涂改无效，不得转让、买卖。</w:t>
      </w:r>
    </w:p>
    <w:p>
      <w:pPr>
        <w:spacing w:line="360" w:lineRule="auto"/>
        <w:rPr>
          <w:b/>
          <w:color w:val="auto"/>
          <w:szCs w:val="21"/>
          <w:highlight w:val="none"/>
        </w:rPr>
      </w:pPr>
    </w:p>
    <w:p>
      <w:pPr>
        <w:pStyle w:val="2"/>
        <w:rPr>
          <w:rFonts w:hint="eastAsia" w:ascii="宋体" w:hAnsi="宋体" w:eastAsia="宋体" w:cs="宋体"/>
          <w:b/>
          <w:color w:val="auto"/>
          <w:sz w:val="28"/>
          <w:szCs w:val="28"/>
          <w:highlight w:val="none"/>
        </w:rPr>
      </w:pPr>
    </w:p>
    <w:p>
      <w:pPr>
        <w:rPr>
          <w:rFonts w:hint="eastAsia" w:ascii="宋体" w:hAnsi="宋体" w:eastAsia="宋体" w:cs="宋体"/>
          <w:b/>
          <w:color w:val="auto"/>
          <w:sz w:val="28"/>
          <w:szCs w:val="28"/>
          <w:highlight w:val="none"/>
        </w:rPr>
      </w:pPr>
    </w:p>
    <w:p>
      <w:pPr>
        <w:ind w:firstLine="3990" w:firstLineChars="1900"/>
        <w:rPr>
          <w:rFonts w:hint="eastAsia" w:asciiTheme="minorHAnsi" w:hAnsiTheme="minorHAnsi" w:eastAsiaTheme="minorEastAsia" w:cstheme="minorBidi"/>
          <w:bCs w:val="0"/>
          <w:color w:val="auto"/>
          <w:sz w:val="21"/>
          <w:szCs w:val="21"/>
          <w:highlight w:val="none"/>
          <w:u w:val="none"/>
        </w:rPr>
      </w:pPr>
      <w:r>
        <w:rPr>
          <w:rFonts w:hint="eastAsia" w:asciiTheme="minorHAnsi" w:hAnsiTheme="minorHAnsi" w:eastAsiaTheme="minorEastAsia" w:cstheme="minorBidi"/>
          <w:bCs w:val="0"/>
          <w:color w:val="auto"/>
          <w:sz w:val="21"/>
          <w:szCs w:val="21"/>
          <w:highlight w:val="none"/>
        </w:rPr>
        <w:t>投标人名称：</w:t>
      </w:r>
      <w:r>
        <w:rPr>
          <w:rFonts w:hint="eastAsia" w:asciiTheme="minorHAnsi" w:hAnsiTheme="minorHAnsi" w:eastAsiaTheme="minorEastAsia" w:cstheme="minorBidi"/>
          <w:bCs w:val="0"/>
          <w:color w:val="auto"/>
          <w:sz w:val="21"/>
          <w:szCs w:val="21"/>
          <w:highlight w:val="none"/>
          <w:u w:val="none"/>
        </w:rPr>
        <w:t xml:space="preserve">      （盖公章）         </w:t>
      </w:r>
    </w:p>
    <w:p>
      <w:pPr>
        <w:adjustRightInd w:val="0"/>
        <w:snapToGrid w:val="0"/>
        <w:spacing w:line="360" w:lineRule="auto"/>
        <w:rPr>
          <w:rFonts w:hint="eastAsia" w:asciiTheme="minorHAnsi" w:hAnsiTheme="minorHAnsi" w:eastAsiaTheme="minorEastAsia" w:cstheme="minorBidi"/>
          <w:bCs w:val="0"/>
          <w:color w:val="auto"/>
          <w:sz w:val="21"/>
          <w:szCs w:val="21"/>
          <w:highlight w:val="none"/>
        </w:rPr>
      </w:pPr>
      <w:r>
        <w:rPr>
          <w:rFonts w:hint="eastAsia" w:asciiTheme="minorHAnsi" w:hAnsiTheme="minorHAnsi" w:eastAsiaTheme="minorEastAsia" w:cstheme="minorBidi"/>
          <w:bCs w:val="0"/>
          <w:color w:val="auto"/>
          <w:sz w:val="21"/>
          <w:szCs w:val="21"/>
          <w:highlight w:val="none"/>
        </w:rPr>
        <w:t xml:space="preserve">                                                      </w:t>
      </w:r>
    </w:p>
    <w:p>
      <w:pPr>
        <w:adjustRightInd/>
        <w:snapToGrid/>
        <w:spacing w:line="360" w:lineRule="auto"/>
        <w:ind w:firstLine="3990" w:firstLineChars="1900"/>
        <w:rPr>
          <w:rFonts w:hint="eastAsia" w:asciiTheme="minorHAnsi" w:hAnsiTheme="minorHAnsi" w:eastAsiaTheme="minorEastAsia" w:cstheme="minorBidi"/>
          <w:bCs w:val="0"/>
          <w:color w:val="auto"/>
          <w:kern w:val="2"/>
          <w:sz w:val="21"/>
          <w:szCs w:val="21"/>
          <w:highlight w:val="none"/>
        </w:rPr>
      </w:pPr>
      <w:r>
        <w:rPr>
          <w:rFonts w:hint="eastAsia" w:asciiTheme="minorHAnsi" w:hAnsiTheme="minorHAnsi" w:eastAsiaTheme="minorEastAsia" w:cstheme="minorBidi"/>
          <w:bCs w:val="0"/>
          <w:color w:val="auto"/>
          <w:kern w:val="2"/>
          <w:sz w:val="21"/>
          <w:szCs w:val="21"/>
          <w:highlight w:val="none"/>
        </w:rPr>
        <w:t>日期：</w:t>
      </w:r>
      <w:r>
        <w:rPr>
          <w:rFonts w:hint="eastAsia" w:asciiTheme="minorHAnsi" w:hAnsiTheme="minorHAnsi" w:eastAsiaTheme="minorEastAsia" w:cstheme="minorBidi"/>
          <w:bCs w:val="0"/>
          <w:color w:val="auto"/>
          <w:kern w:val="2"/>
          <w:sz w:val="21"/>
          <w:szCs w:val="21"/>
          <w:highlight w:val="none"/>
          <w:u w:val="none"/>
        </w:rPr>
        <w:t xml:space="preserve">    </w:t>
      </w:r>
      <w:r>
        <w:rPr>
          <w:rFonts w:hint="eastAsia" w:asciiTheme="minorHAnsi" w:hAnsiTheme="minorHAnsi" w:eastAsiaTheme="minorEastAsia" w:cstheme="minorBidi"/>
          <w:bCs w:val="0"/>
          <w:color w:val="auto"/>
          <w:kern w:val="2"/>
          <w:sz w:val="21"/>
          <w:szCs w:val="21"/>
          <w:highlight w:val="none"/>
        </w:rPr>
        <w:t>年</w:t>
      </w:r>
      <w:r>
        <w:rPr>
          <w:rFonts w:hint="eastAsia" w:asciiTheme="minorHAnsi" w:hAnsiTheme="minorHAnsi" w:eastAsiaTheme="minorEastAsia" w:cstheme="minorBidi"/>
          <w:bCs w:val="0"/>
          <w:color w:val="auto"/>
          <w:kern w:val="2"/>
          <w:sz w:val="21"/>
          <w:szCs w:val="21"/>
          <w:highlight w:val="none"/>
          <w:u w:val="none"/>
        </w:rPr>
        <w:t xml:space="preserve">   </w:t>
      </w:r>
      <w:r>
        <w:rPr>
          <w:rFonts w:hint="eastAsia" w:asciiTheme="minorHAnsi" w:hAnsiTheme="minorHAnsi" w:eastAsiaTheme="minorEastAsia" w:cstheme="minorBidi"/>
          <w:bCs w:val="0"/>
          <w:color w:val="auto"/>
          <w:kern w:val="2"/>
          <w:sz w:val="21"/>
          <w:szCs w:val="21"/>
          <w:highlight w:val="none"/>
        </w:rPr>
        <w:t>月</w:t>
      </w:r>
      <w:r>
        <w:rPr>
          <w:rFonts w:hint="eastAsia" w:asciiTheme="minorHAnsi" w:hAnsiTheme="minorHAnsi" w:eastAsiaTheme="minorEastAsia" w:cstheme="minorBidi"/>
          <w:bCs w:val="0"/>
          <w:color w:val="auto"/>
          <w:kern w:val="2"/>
          <w:sz w:val="21"/>
          <w:szCs w:val="21"/>
          <w:highlight w:val="none"/>
          <w:u w:val="none"/>
        </w:rPr>
        <w:t xml:space="preserve">   </w:t>
      </w:r>
      <w:r>
        <w:rPr>
          <w:rFonts w:hint="eastAsia" w:asciiTheme="minorHAnsi" w:hAnsiTheme="minorHAnsi" w:eastAsiaTheme="minorEastAsia" w:cstheme="minorBidi"/>
          <w:bCs w:val="0"/>
          <w:color w:val="auto"/>
          <w:kern w:val="2"/>
          <w:sz w:val="21"/>
          <w:szCs w:val="21"/>
          <w:highlight w:val="none"/>
        </w:rPr>
        <w:t>日</w:t>
      </w:r>
    </w:p>
    <w:p>
      <w:pPr>
        <w:pStyle w:val="2"/>
        <w:rPr>
          <w:rFonts w:hint="eastAsia"/>
        </w:rPr>
      </w:pPr>
    </w:p>
    <w:p>
      <w:pPr>
        <w:spacing w:line="360" w:lineRule="auto"/>
        <w:rPr>
          <w:b/>
          <w:color w:val="auto"/>
          <w:sz w:val="32"/>
          <w:szCs w:val="32"/>
          <w:highlight w:val="none"/>
        </w:rPr>
      </w:pPr>
    </w:p>
    <w:p>
      <w:pPr>
        <w:spacing w:line="360" w:lineRule="auto"/>
        <w:rPr>
          <w:b/>
          <w:color w:val="auto"/>
          <w:sz w:val="32"/>
          <w:szCs w:val="32"/>
          <w:highlight w:val="none"/>
        </w:rPr>
      </w:pPr>
    </w:p>
    <w:p>
      <w:pPr>
        <w:spacing w:line="360" w:lineRule="auto"/>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附：1.要求必须提供法定代表人（负责人）身份证（境外人员无法提供身份证的，可提供护照）扫描件（正反两面）。</w:t>
      </w:r>
    </w:p>
    <w:p>
      <w:pPr>
        <w:spacing w:line="360" w:lineRule="auto"/>
        <w:rPr>
          <w:b/>
          <w:color w:val="auto"/>
          <w:sz w:val="32"/>
          <w:szCs w:val="32"/>
          <w:highlight w:val="none"/>
        </w:rPr>
      </w:pPr>
    </w:p>
    <w:p>
      <w:pPr>
        <w:spacing w:line="360" w:lineRule="auto"/>
        <w:rPr>
          <w:b/>
          <w:color w:val="auto"/>
          <w:sz w:val="32"/>
          <w:szCs w:val="32"/>
          <w:highlight w:val="none"/>
        </w:rPr>
      </w:pPr>
    </w:p>
    <w:p>
      <w:pPr>
        <w:keepNext/>
        <w:keepLines/>
        <w:spacing w:before="260" w:after="260"/>
        <w:jc w:val="center"/>
        <w:outlineLvl w:val="1"/>
        <w:rPr>
          <w:rFonts w:ascii="黑体" w:eastAsia="黑体"/>
          <w:b/>
          <w:color w:val="auto"/>
          <w:highlight w:val="none"/>
        </w:rPr>
      </w:pPr>
      <w:r>
        <w:rPr>
          <w:rFonts w:ascii="黑体" w:eastAsia="黑体"/>
          <w:b/>
          <w:color w:val="auto"/>
          <w:highlight w:val="none"/>
        </w:rPr>
        <w:tab/>
      </w:r>
    </w:p>
    <w:p>
      <w:pPr>
        <w:rPr>
          <w:rFonts w:ascii="黑体" w:eastAsia="黑体"/>
          <w:b/>
          <w:color w:val="auto"/>
          <w:highlight w:val="none"/>
        </w:rPr>
      </w:pPr>
      <w:r>
        <w:rPr>
          <w:rFonts w:ascii="黑体" w:eastAsia="黑体"/>
          <w:b/>
          <w:color w:val="auto"/>
          <w:highlight w:val="none"/>
        </w:rPr>
        <w:br w:type="page"/>
      </w:r>
    </w:p>
    <w:p>
      <w:pPr>
        <w:pStyle w:val="4"/>
        <w:keepNext/>
        <w:keepLines/>
        <w:spacing w:before="260" w:after="260"/>
        <w:jc w:val="center"/>
        <w:outlineLvl w:val="1"/>
        <w:rPr>
          <w:rFonts w:hint="eastAsia" w:ascii="Arial" w:eastAsia="黑体"/>
          <w:b/>
          <w:color w:val="auto"/>
          <w:highlight w:val="none"/>
        </w:rPr>
      </w:pPr>
      <w:bookmarkStart w:id="125" w:name="_Toc812"/>
      <w:bookmarkStart w:id="126" w:name="_Toc1014"/>
      <w:r>
        <w:rPr>
          <w:rFonts w:hint="eastAsia"/>
          <w:b/>
          <w:lang w:val="en-US" w:eastAsia="zh-CN"/>
        </w:rPr>
        <w:t>四</w:t>
      </w:r>
      <w:r>
        <w:rPr>
          <w:rFonts w:hint="eastAsia" w:ascii="Arial" w:eastAsia="黑体"/>
          <w:b/>
          <w:color w:val="auto"/>
          <w:highlight w:val="none"/>
        </w:rPr>
        <w:t>、应答文件签署授权委托书</w:t>
      </w:r>
      <w:bookmarkEnd w:id="125"/>
      <w:bookmarkEnd w:id="126"/>
    </w:p>
    <w:p>
      <w:pPr>
        <w:spacing w:line="360" w:lineRule="auto"/>
        <w:ind w:firstLine="420" w:firstLineChars="200"/>
        <w:rPr>
          <w:color w:val="auto"/>
          <w:szCs w:val="21"/>
          <w:highlight w:val="none"/>
        </w:rPr>
      </w:pPr>
      <w:r>
        <w:rPr>
          <w:rFonts w:hint="eastAsia"/>
          <w:color w:val="auto"/>
          <w:szCs w:val="21"/>
          <w:highlight w:val="none"/>
        </w:rPr>
        <w:t>本授权委托书声明：我</w:t>
      </w:r>
      <w:r>
        <w:rPr>
          <w:rFonts w:hint="eastAsia"/>
          <w:color w:val="auto"/>
          <w:szCs w:val="21"/>
          <w:highlight w:val="none"/>
          <w:u w:val="single"/>
        </w:rPr>
        <w:t xml:space="preserve">           </w:t>
      </w:r>
      <w:r>
        <w:rPr>
          <w:rFonts w:hint="eastAsia"/>
          <w:color w:val="auto"/>
          <w:szCs w:val="21"/>
          <w:highlight w:val="none"/>
        </w:rPr>
        <w:t>（姓名）系</w:t>
      </w:r>
      <w:r>
        <w:rPr>
          <w:rFonts w:hint="eastAsia"/>
          <w:color w:val="auto"/>
          <w:szCs w:val="21"/>
          <w:highlight w:val="none"/>
          <w:u w:val="single"/>
        </w:rPr>
        <w:t xml:space="preserve">             </w:t>
      </w:r>
      <w:r>
        <w:rPr>
          <w:rFonts w:hint="eastAsia"/>
          <w:color w:val="auto"/>
          <w:szCs w:val="21"/>
          <w:highlight w:val="none"/>
        </w:rPr>
        <w:t>（谈判供应商名称）的法定代表人</w:t>
      </w:r>
      <w:r>
        <w:rPr>
          <w:rFonts w:hint="eastAsia" w:ascii="黑体" w:eastAsia="黑体"/>
          <w:b/>
          <w:color w:val="auto"/>
          <w:highlight w:val="none"/>
        </w:rPr>
        <w:t>（负责人）</w:t>
      </w:r>
      <w:r>
        <w:rPr>
          <w:rFonts w:hint="eastAsia"/>
          <w:color w:val="auto"/>
          <w:szCs w:val="21"/>
          <w:highlight w:val="none"/>
        </w:rPr>
        <w:t>，现授权委托</w:t>
      </w:r>
      <w:r>
        <w:rPr>
          <w:rFonts w:hint="eastAsia"/>
          <w:color w:val="auto"/>
          <w:szCs w:val="21"/>
          <w:highlight w:val="none"/>
          <w:u w:val="single"/>
        </w:rPr>
        <w:t xml:space="preserve">            </w:t>
      </w:r>
      <w:r>
        <w:rPr>
          <w:rFonts w:hint="eastAsia"/>
          <w:color w:val="auto"/>
          <w:szCs w:val="21"/>
          <w:highlight w:val="none"/>
        </w:rPr>
        <w:t>（姓名）为我公司签署本项目已递交的应答文件的法定代表人</w:t>
      </w:r>
      <w:r>
        <w:rPr>
          <w:rFonts w:hint="eastAsia" w:ascii="黑体" w:eastAsia="黑体"/>
          <w:b/>
          <w:color w:val="auto"/>
          <w:highlight w:val="none"/>
        </w:rPr>
        <w:t>（负责人）</w:t>
      </w:r>
      <w:r>
        <w:rPr>
          <w:rFonts w:hint="eastAsia"/>
          <w:color w:val="auto"/>
          <w:szCs w:val="21"/>
          <w:highlight w:val="none"/>
        </w:rPr>
        <w:t>的授权委托代理人，代理人全权代表我所签署的本项目已递交的应答文件内容我均承认。</w:t>
      </w:r>
    </w:p>
    <w:p>
      <w:pPr>
        <w:spacing w:line="360" w:lineRule="auto"/>
        <w:ind w:firstLine="420"/>
        <w:rPr>
          <w:color w:val="auto"/>
          <w:szCs w:val="21"/>
          <w:highlight w:val="none"/>
        </w:rPr>
      </w:pPr>
      <w:r>
        <w:rPr>
          <w:rFonts w:hint="eastAsia"/>
          <w:color w:val="auto"/>
          <w:szCs w:val="21"/>
          <w:highlight w:val="none"/>
        </w:rPr>
        <w:t>代理人无转委托权，特此委托。</w:t>
      </w:r>
    </w:p>
    <w:p>
      <w:pPr>
        <w:spacing w:line="360" w:lineRule="auto"/>
        <w:ind w:left="540" w:leftChars="257"/>
        <w:rPr>
          <w:color w:val="auto"/>
          <w:szCs w:val="21"/>
          <w:highlight w:val="none"/>
          <w:u w:val="single"/>
        </w:rPr>
      </w:pPr>
      <w:r>
        <w:rPr>
          <w:rFonts w:hint="eastAsia"/>
          <w:color w:val="auto"/>
          <w:szCs w:val="21"/>
          <w:highlight w:val="none"/>
          <w:lang w:val="en-US" w:eastAsia="zh-CN"/>
        </w:rPr>
        <w:t>法定代表人</w:t>
      </w:r>
      <w:r>
        <w:rPr>
          <w:rFonts w:hint="eastAsia"/>
          <w:color w:val="auto"/>
          <w:szCs w:val="21"/>
          <w:highlight w:val="none"/>
        </w:rPr>
        <w:t>：</w:t>
      </w:r>
      <w:r>
        <w:rPr>
          <w:rFonts w:hint="eastAsia"/>
          <w:color w:val="auto"/>
          <w:szCs w:val="21"/>
          <w:highlight w:val="none"/>
          <w:u w:val="single"/>
        </w:rPr>
        <w:t xml:space="preserve">             </w:t>
      </w:r>
    </w:p>
    <w:p>
      <w:pPr>
        <w:spacing w:line="360" w:lineRule="auto"/>
        <w:ind w:left="540" w:leftChars="257"/>
        <w:rPr>
          <w:color w:val="auto"/>
          <w:szCs w:val="21"/>
          <w:highlight w:val="none"/>
        </w:rPr>
      </w:pPr>
      <w:r>
        <w:rPr>
          <w:rFonts w:hint="eastAsia"/>
          <w:color w:val="auto"/>
          <w:szCs w:val="21"/>
          <w:highlight w:val="none"/>
        </w:rPr>
        <w:t>联系电话：</w:t>
      </w:r>
      <w:r>
        <w:rPr>
          <w:rFonts w:hint="eastAsia"/>
          <w:color w:val="auto"/>
          <w:szCs w:val="21"/>
          <w:highlight w:val="none"/>
          <w:u w:val="single"/>
        </w:rPr>
        <w:t xml:space="preserve">            </w:t>
      </w:r>
      <w:r>
        <w:rPr>
          <w:rFonts w:hint="eastAsia"/>
          <w:color w:val="auto"/>
          <w:szCs w:val="21"/>
          <w:highlight w:val="none"/>
        </w:rPr>
        <w:t xml:space="preserve">  手机：</w:t>
      </w:r>
      <w:r>
        <w:rPr>
          <w:rFonts w:hint="eastAsia"/>
          <w:color w:val="auto"/>
          <w:szCs w:val="21"/>
          <w:highlight w:val="none"/>
          <w:u w:val="single"/>
        </w:rPr>
        <w:t xml:space="preserve">                   </w:t>
      </w:r>
    </w:p>
    <w:p>
      <w:pPr>
        <w:spacing w:line="360" w:lineRule="auto"/>
        <w:ind w:left="540" w:leftChars="257"/>
        <w:rPr>
          <w:color w:val="auto"/>
          <w:szCs w:val="21"/>
          <w:highlight w:val="none"/>
          <w:u w:val="single"/>
        </w:rPr>
      </w:pPr>
      <w:r>
        <w:rPr>
          <w:rFonts w:hint="eastAsia"/>
          <w:color w:val="auto"/>
          <w:szCs w:val="21"/>
          <w:highlight w:val="none"/>
        </w:rPr>
        <w:t>身份证号码：</w:t>
      </w:r>
      <w:r>
        <w:rPr>
          <w:rFonts w:hint="eastAsia"/>
          <w:color w:val="auto"/>
          <w:szCs w:val="21"/>
          <w:highlight w:val="none"/>
          <w:u w:val="single"/>
        </w:rPr>
        <w:t xml:space="preserve">                        </w:t>
      </w:r>
      <w:r>
        <w:rPr>
          <w:rFonts w:hint="eastAsia"/>
          <w:color w:val="auto"/>
          <w:szCs w:val="21"/>
          <w:highlight w:val="none"/>
        </w:rPr>
        <w:t>职务：</w:t>
      </w:r>
      <w:r>
        <w:rPr>
          <w:rFonts w:hint="eastAsia"/>
          <w:color w:val="auto"/>
          <w:szCs w:val="21"/>
          <w:highlight w:val="none"/>
          <w:u w:val="single"/>
        </w:rPr>
        <w:t xml:space="preserve">       </w:t>
      </w:r>
    </w:p>
    <w:p>
      <w:pPr>
        <w:spacing w:line="360" w:lineRule="auto"/>
        <w:ind w:left="540" w:leftChars="257"/>
        <w:rPr>
          <w:rFonts w:hint="eastAsia" w:eastAsiaTheme="minorEastAsia"/>
          <w:color w:val="auto"/>
          <w:szCs w:val="21"/>
          <w:highlight w:val="none"/>
          <w:lang w:val="en-US" w:eastAsia="zh-CN"/>
        </w:rPr>
      </w:pPr>
      <w:r>
        <w:rPr>
          <w:rFonts w:hint="eastAsia"/>
          <w:color w:val="auto"/>
          <w:szCs w:val="21"/>
          <w:highlight w:val="none"/>
          <w:lang w:val="en-US" w:eastAsia="zh-CN"/>
        </w:rPr>
        <w:t>授权委托</w:t>
      </w:r>
      <w:r>
        <w:rPr>
          <w:rFonts w:hint="eastAsia"/>
          <w:color w:val="auto"/>
          <w:szCs w:val="21"/>
          <w:highlight w:val="none"/>
        </w:rPr>
        <w:t>日期：</w:t>
      </w:r>
      <w:r>
        <w:rPr>
          <w:rFonts w:hint="eastAsia"/>
          <w:color w:val="auto"/>
          <w:szCs w:val="21"/>
          <w:highlight w:val="none"/>
          <w:u w:val="single"/>
        </w:rPr>
        <w:t xml:space="preserve">      </w:t>
      </w:r>
      <w:r>
        <w:rPr>
          <w:rFonts w:hint="eastAsia"/>
          <w:color w:val="auto"/>
          <w:szCs w:val="21"/>
          <w:highlight w:val="none"/>
        </w:rPr>
        <w:t>年</w:t>
      </w:r>
      <w:r>
        <w:rPr>
          <w:rFonts w:hint="eastAsia"/>
          <w:color w:val="auto"/>
          <w:szCs w:val="21"/>
          <w:highlight w:val="none"/>
          <w:u w:val="single"/>
        </w:rPr>
        <w:t xml:space="preserve">     </w:t>
      </w:r>
      <w:r>
        <w:rPr>
          <w:rFonts w:hint="eastAsia"/>
          <w:color w:val="auto"/>
          <w:szCs w:val="21"/>
          <w:highlight w:val="none"/>
        </w:rPr>
        <w:t xml:space="preserve">月 </w:t>
      </w:r>
      <w:r>
        <w:rPr>
          <w:rFonts w:hint="eastAsia"/>
          <w:color w:val="auto"/>
          <w:szCs w:val="21"/>
          <w:highlight w:val="none"/>
          <w:u w:val="single"/>
        </w:rPr>
        <w:t xml:space="preserve">      </w:t>
      </w:r>
      <w:r>
        <w:rPr>
          <w:rFonts w:hint="eastAsia"/>
          <w:color w:val="auto"/>
          <w:szCs w:val="21"/>
          <w:highlight w:val="none"/>
        </w:rPr>
        <w:t>日</w:t>
      </w:r>
      <w:r>
        <w:rPr>
          <w:rFonts w:hint="eastAsia"/>
          <w:color w:val="auto"/>
          <w:szCs w:val="21"/>
          <w:highlight w:val="none"/>
          <w:lang w:val="en-US" w:eastAsia="zh-CN"/>
        </w:rPr>
        <w:t>至</w:t>
      </w:r>
      <w:r>
        <w:rPr>
          <w:rFonts w:hint="eastAsia"/>
          <w:color w:val="auto"/>
          <w:szCs w:val="21"/>
          <w:highlight w:val="none"/>
          <w:u w:val="single"/>
        </w:rPr>
        <w:t xml:space="preserve">      </w:t>
      </w:r>
      <w:r>
        <w:rPr>
          <w:rFonts w:hint="eastAsia"/>
          <w:color w:val="auto"/>
          <w:szCs w:val="21"/>
          <w:highlight w:val="none"/>
        </w:rPr>
        <w:t>年</w:t>
      </w:r>
      <w:r>
        <w:rPr>
          <w:rFonts w:hint="eastAsia"/>
          <w:color w:val="auto"/>
          <w:szCs w:val="21"/>
          <w:highlight w:val="none"/>
          <w:u w:val="single"/>
        </w:rPr>
        <w:t xml:space="preserve">     </w:t>
      </w:r>
      <w:r>
        <w:rPr>
          <w:rFonts w:hint="eastAsia"/>
          <w:color w:val="auto"/>
          <w:szCs w:val="21"/>
          <w:highlight w:val="none"/>
        </w:rPr>
        <w:t xml:space="preserve">月 </w:t>
      </w:r>
      <w:r>
        <w:rPr>
          <w:rFonts w:hint="eastAsia"/>
          <w:color w:val="auto"/>
          <w:szCs w:val="21"/>
          <w:highlight w:val="none"/>
          <w:u w:val="single"/>
        </w:rPr>
        <w:t xml:space="preserve">      </w:t>
      </w:r>
      <w:r>
        <w:rPr>
          <w:rFonts w:hint="eastAsia"/>
          <w:color w:val="auto"/>
          <w:szCs w:val="21"/>
          <w:highlight w:val="none"/>
        </w:rPr>
        <w:t>日</w:t>
      </w:r>
    </w:p>
    <w:p>
      <w:pPr>
        <w:spacing w:line="360" w:lineRule="auto"/>
        <w:ind w:firstLine="420"/>
        <w:rPr>
          <w:color w:val="auto"/>
          <w:szCs w:val="21"/>
          <w:highlight w:val="none"/>
        </w:rPr>
      </w:pPr>
    </w:p>
    <w:p>
      <w:pPr>
        <w:spacing w:line="360" w:lineRule="auto"/>
        <w:ind w:left="540" w:leftChars="257"/>
        <w:rPr>
          <w:color w:val="auto"/>
          <w:szCs w:val="21"/>
          <w:highlight w:val="none"/>
          <w:u w:val="single"/>
        </w:rPr>
      </w:pPr>
      <w:r>
        <w:rPr>
          <w:rFonts w:hint="eastAsia"/>
          <w:color w:val="auto"/>
          <w:szCs w:val="21"/>
          <w:highlight w:val="none"/>
        </w:rPr>
        <w:t>代理人：</w:t>
      </w:r>
      <w:r>
        <w:rPr>
          <w:rFonts w:hint="eastAsia"/>
          <w:color w:val="auto"/>
          <w:szCs w:val="21"/>
          <w:highlight w:val="none"/>
          <w:u w:val="single"/>
        </w:rPr>
        <w:t xml:space="preserve">             </w:t>
      </w:r>
    </w:p>
    <w:p>
      <w:pPr>
        <w:spacing w:line="360" w:lineRule="auto"/>
        <w:ind w:left="540" w:leftChars="257"/>
        <w:rPr>
          <w:color w:val="auto"/>
          <w:szCs w:val="21"/>
          <w:highlight w:val="none"/>
        </w:rPr>
      </w:pPr>
      <w:r>
        <w:rPr>
          <w:rFonts w:hint="eastAsia"/>
          <w:color w:val="auto"/>
          <w:szCs w:val="21"/>
          <w:highlight w:val="none"/>
        </w:rPr>
        <w:t>联系电话：</w:t>
      </w:r>
      <w:r>
        <w:rPr>
          <w:rFonts w:hint="eastAsia"/>
          <w:color w:val="auto"/>
          <w:szCs w:val="21"/>
          <w:highlight w:val="none"/>
          <w:u w:val="single"/>
        </w:rPr>
        <w:t xml:space="preserve">            </w:t>
      </w:r>
      <w:r>
        <w:rPr>
          <w:rFonts w:hint="eastAsia"/>
          <w:color w:val="auto"/>
          <w:szCs w:val="21"/>
          <w:highlight w:val="none"/>
        </w:rPr>
        <w:t xml:space="preserve">  手机：</w:t>
      </w:r>
      <w:r>
        <w:rPr>
          <w:rFonts w:hint="eastAsia"/>
          <w:color w:val="auto"/>
          <w:szCs w:val="21"/>
          <w:highlight w:val="none"/>
          <w:u w:val="single"/>
        </w:rPr>
        <w:t xml:space="preserve">                   </w:t>
      </w:r>
    </w:p>
    <w:p>
      <w:pPr>
        <w:spacing w:line="360" w:lineRule="auto"/>
        <w:ind w:left="540" w:leftChars="257"/>
        <w:rPr>
          <w:color w:val="auto"/>
          <w:szCs w:val="21"/>
          <w:highlight w:val="none"/>
          <w:u w:val="single"/>
        </w:rPr>
      </w:pPr>
      <w:r>
        <w:rPr>
          <w:rFonts w:hint="eastAsia"/>
          <w:color w:val="auto"/>
          <w:szCs w:val="21"/>
          <w:highlight w:val="none"/>
        </w:rPr>
        <w:t>身份证号码：</w:t>
      </w:r>
      <w:r>
        <w:rPr>
          <w:rFonts w:hint="eastAsia"/>
          <w:color w:val="auto"/>
          <w:szCs w:val="21"/>
          <w:highlight w:val="none"/>
          <w:u w:val="single"/>
        </w:rPr>
        <w:t xml:space="preserve">                        </w:t>
      </w:r>
      <w:r>
        <w:rPr>
          <w:rFonts w:hint="eastAsia"/>
          <w:color w:val="auto"/>
          <w:szCs w:val="21"/>
          <w:highlight w:val="none"/>
        </w:rPr>
        <w:t>职务：</w:t>
      </w:r>
      <w:r>
        <w:rPr>
          <w:rFonts w:hint="eastAsia"/>
          <w:color w:val="auto"/>
          <w:szCs w:val="21"/>
          <w:highlight w:val="none"/>
          <w:u w:val="single"/>
        </w:rPr>
        <w:t xml:space="preserve">       </w:t>
      </w:r>
    </w:p>
    <w:p>
      <w:pPr>
        <w:spacing w:line="360" w:lineRule="auto"/>
        <w:rPr>
          <w:b/>
          <w:color w:val="auto"/>
          <w:sz w:val="32"/>
          <w:szCs w:val="32"/>
          <w:highlight w:val="none"/>
        </w:rPr>
      </w:pPr>
    </w:p>
    <w:p>
      <w:pPr>
        <w:spacing w:line="360" w:lineRule="auto"/>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附：要求必须提供代理人身份证（境外人员无法提供身份证的，可提供护照）扫描件（正反两面）。</w:t>
      </w:r>
    </w:p>
    <w:p>
      <w:pPr>
        <w:pStyle w:val="4"/>
        <w:rPr>
          <w:rFonts w:hint="eastAsia"/>
        </w:rPr>
        <w:sectPr>
          <w:pgSz w:w="11906" w:h="16838"/>
          <w:pgMar w:top="1440" w:right="1800" w:bottom="1440" w:left="1800" w:header="851" w:footer="992" w:gutter="0"/>
          <w:cols w:space="425" w:num="1"/>
          <w:docGrid w:type="lines" w:linePitch="312" w:charSpace="0"/>
        </w:sectPr>
      </w:pPr>
    </w:p>
    <w:p>
      <w:pPr>
        <w:pStyle w:val="4"/>
        <w:outlineLvl w:val="1"/>
        <w:rPr>
          <w:rFonts w:hint="eastAsia" w:ascii="Arial" w:eastAsia="黑体"/>
          <w:b/>
        </w:rPr>
      </w:pPr>
      <w:bookmarkStart w:id="127" w:name="_Toc3989"/>
      <w:r>
        <w:rPr>
          <w:rFonts w:hint="eastAsia"/>
          <w:b/>
          <w:lang w:val="en-US" w:eastAsia="zh-CN"/>
        </w:rPr>
        <w:t>五</w:t>
      </w:r>
      <w:r>
        <w:rPr>
          <w:rFonts w:hint="eastAsia" w:ascii="Arial" w:eastAsia="黑体"/>
          <w:b/>
        </w:rPr>
        <w:t>、实质性条款响应情况表</w:t>
      </w:r>
      <w:bookmarkEnd w:id="127"/>
    </w:p>
    <w:tbl>
      <w:tblPr>
        <w:tblStyle w:val="15"/>
        <w:tblW w:w="71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3"/>
        <w:gridCol w:w="4792"/>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tcPr>
          <w:p>
            <w:pPr>
              <w:snapToGrid w:val="0"/>
              <w:spacing w:line="360" w:lineRule="auto"/>
              <w:jc w:val="center"/>
              <w:rPr>
                <w:rFonts w:ascii="宋体" w:hAnsi="宋体"/>
                <w:color w:val="auto"/>
                <w:szCs w:val="21"/>
                <w:highlight w:val="none"/>
              </w:rPr>
            </w:pPr>
            <w:r>
              <w:rPr>
                <w:rFonts w:hint="eastAsia" w:ascii="宋体" w:hAnsi="宋体"/>
                <w:color w:val="auto"/>
                <w:szCs w:val="21"/>
                <w:highlight w:val="none"/>
              </w:rPr>
              <w:t>序号</w:t>
            </w:r>
          </w:p>
        </w:tc>
        <w:tc>
          <w:tcPr>
            <w:tcW w:w="4792" w:type="dxa"/>
          </w:tcPr>
          <w:p>
            <w:pPr>
              <w:snapToGrid w:val="0"/>
              <w:spacing w:line="360" w:lineRule="auto"/>
              <w:jc w:val="center"/>
              <w:rPr>
                <w:rFonts w:ascii="宋体" w:hAnsi="宋体"/>
                <w:color w:val="auto"/>
                <w:szCs w:val="21"/>
                <w:highlight w:val="none"/>
              </w:rPr>
            </w:pPr>
            <w:r>
              <w:rPr>
                <w:rFonts w:hint="eastAsia" w:ascii="宋体" w:hAnsi="宋体"/>
                <w:color w:val="auto"/>
                <w:szCs w:val="21"/>
                <w:highlight w:val="none"/>
                <w:lang w:val="en-US" w:eastAsia="zh-CN"/>
              </w:rPr>
              <w:t>招标人</w:t>
            </w:r>
            <w:r>
              <w:rPr>
                <w:rFonts w:hint="eastAsia" w:ascii="宋体" w:hAnsi="宋体"/>
                <w:color w:val="auto"/>
                <w:szCs w:val="21"/>
                <w:highlight w:val="none"/>
              </w:rPr>
              <w:t>要求内容</w:t>
            </w:r>
          </w:p>
        </w:tc>
        <w:tc>
          <w:tcPr>
            <w:tcW w:w="1701" w:type="dxa"/>
          </w:tcPr>
          <w:p>
            <w:pPr>
              <w:snapToGrid w:val="0"/>
              <w:spacing w:line="360" w:lineRule="auto"/>
              <w:jc w:val="center"/>
              <w:rPr>
                <w:rFonts w:ascii="宋体" w:hAnsi="宋体"/>
                <w:color w:val="auto"/>
                <w:szCs w:val="21"/>
                <w:highlight w:val="none"/>
              </w:rPr>
            </w:pPr>
            <w:r>
              <w:rPr>
                <w:rFonts w:hint="eastAsia" w:ascii="宋体" w:hAnsi="宋体"/>
                <w:color w:val="auto"/>
                <w:szCs w:val="21"/>
                <w:highlight w:val="none"/>
              </w:rPr>
              <w:t>应答响应情况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tcPr>
          <w:p>
            <w:pPr>
              <w:snapToGrid w:val="0"/>
              <w:spacing w:line="360" w:lineRule="auto"/>
              <w:jc w:val="center"/>
              <w:rPr>
                <w:rFonts w:ascii="宋体" w:hAnsi="宋体"/>
                <w:color w:val="auto"/>
                <w:szCs w:val="21"/>
                <w:highlight w:val="none"/>
              </w:rPr>
            </w:pPr>
            <w:r>
              <w:rPr>
                <w:rFonts w:hint="eastAsia" w:ascii="宋体" w:hAnsi="宋体"/>
                <w:color w:val="auto"/>
                <w:szCs w:val="21"/>
                <w:highlight w:val="none"/>
              </w:rPr>
              <w:t>1</w:t>
            </w:r>
          </w:p>
        </w:tc>
        <w:tc>
          <w:tcPr>
            <w:tcW w:w="4792" w:type="dxa"/>
            <w:vAlign w:val="top"/>
          </w:tcPr>
          <w:p>
            <w:pPr>
              <w:snapToGrid w:val="0"/>
              <w:spacing w:line="360" w:lineRule="auto"/>
              <w:jc w:val="left"/>
              <w:rPr>
                <w:rFonts w:hAnsi="宋体" w:eastAsiaTheme="minorEastAsia"/>
                <w:color w:val="auto"/>
                <w:szCs w:val="21"/>
                <w:highlight w:val="none"/>
              </w:rPr>
            </w:pPr>
          </w:p>
        </w:tc>
        <w:tc>
          <w:tcPr>
            <w:tcW w:w="1701" w:type="dxa"/>
          </w:tcPr>
          <w:p>
            <w:pPr>
              <w:snapToGrid w:val="0"/>
              <w:spacing w:line="360" w:lineRule="auto"/>
              <w:jc w:val="center"/>
              <w:rPr>
                <w:rFonts w:ascii="宋体" w:hAnsi="宋体"/>
                <w:b w:val="0"/>
                <w:bCs/>
                <w:color w:val="auto"/>
                <w:szCs w:val="21"/>
                <w:highlight w:val="none"/>
              </w:rPr>
            </w:pPr>
            <w:r>
              <w:rPr>
                <w:rFonts w:hint="eastAsia"/>
                <w:b w:val="0"/>
                <w:bCs/>
                <w:color w:val="auto"/>
                <w:highlight w:val="none"/>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tcPr>
          <w:p>
            <w:pPr>
              <w:snapToGrid w:val="0"/>
              <w:spacing w:line="360" w:lineRule="auto"/>
              <w:jc w:val="center"/>
              <w:rPr>
                <w:rFonts w:hint="eastAsia" w:ascii="宋体" w:hAnsi="宋体" w:eastAsia="宋体"/>
                <w:color w:val="auto"/>
                <w:szCs w:val="21"/>
                <w:highlight w:val="none"/>
                <w:lang w:eastAsia="zh-CN"/>
              </w:rPr>
            </w:pPr>
            <w:r>
              <w:rPr>
                <w:rFonts w:hint="eastAsia" w:ascii="宋体" w:hAnsi="宋体"/>
                <w:color w:val="auto"/>
                <w:szCs w:val="21"/>
                <w:highlight w:val="none"/>
                <w:lang w:val="en-US" w:eastAsia="zh-CN"/>
              </w:rPr>
              <w:t>2</w:t>
            </w:r>
          </w:p>
        </w:tc>
        <w:tc>
          <w:tcPr>
            <w:tcW w:w="4792" w:type="dxa"/>
            <w:vAlign w:val="top"/>
          </w:tcPr>
          <w:p>
            <w:pPr>
              <w:snapToGrid w:val="0"/>
              <w:spacing w:line="360" w:lineRule="auto"/>
              <w:jc w:val="left"/>
              <w:rPr>
                <w:rFonts w:ascii="宋体" w:hAnsi="宋体"/>
                <w:bCs/>
                <w:color w:val="auto"/>
                <w:szCs w:val="21"/>
                <w:highlight w:val="none"/>
              </w:rPr>
            </w:pPr>
          </w:p>
        </w:tc>
        <w:tc>
          <w:tcPr>
            <w:tcW w:w="1701" w:type="dxa"/>
          </w:tcPr>
          <w:p>
            <w:pPr>
              <w:snapToGrid w:val="0"/>
              <w:spacing w:line="360" w:lineRule="auto"/>
              <w:jc w:val="center"/>
              <w:rPr>
                <w:rFonts w:ascii="宋体" w:hAnsi="宋体"/>
                <w:b w:val="0"/>
                <w:bCs/>
                <w:color w:val="auto"/>
                <w:szCs w:val="21"/>
                <w:highlight w:val="none"/>
              </w:rPr>
            </w:pPr>
            <w:r>
              <w:rPr>
                <w:rFonts w:hint="eastAsia"/>
                <w:b w:val="0"/>
                <w:bCs/>
                <w:color w:val="auto"/>
                <w:highlight w:val="none"/>
              </w:rPr>
              <w:t>响应</w:t>
            </w:r>
          </w:p>
        </w:tc>
      </w:tr>
    </w:tbl>
    <w:p>
      <w:pPr>
        <w:spacing w:line="360" w:lineRule="auto"/>
        <w:rPr>
          <w:b/>
          <w:color w:val="auto"/>
          <w:highlight w:val="none"/>
        </w:rPr>
      </w:pPr>
    </w:p>
    <w:p>
      <w:pPr>
        <w:spacing w:line="360" w:lineRule="auto"/>
        <w:rPr>
          <w:b/>
          <w:color w:val="auto"/>
          <w:highlight w:val="none"/>
        </w:rPr>
      </w:pPr>
      <w:r>
        <w:rPr>
          <w:rFonts w:hint="eastAsia"/>
          <w:b/>
          <w:color w:val="auto"/>
          <w:highlight w:val="none"/>
        </w:rPr>
        <w:t>注：1. 上表所列内容为不可负偏离条款。</w:t>
      </w:r>
    </w:p>
    <w:p>
      <w:pPr>
        <w:spacing w:line="360" w:lineRule="auto"/>
        <w:ind w:firstLine="422" w:firstLineChars="200"/>
        <w:rPr>
          <w:b/>
          <w:color w:val="auto"/>
          <w:highlight w:val="none"/>
        </w:rPr>
      </w:pPr>
      <w:r>
        <w:rPr>
          <w:rFonts w:hint="eastAsia"/>
          <w:b/>
          <w:color w:val="auto"/>
          <w:highlight w:val="none"/>
        </w:rPr>
        <w:t>2.“应答响应情况”一栏应如实填写“响应”或“不响应”。</w:t>
      </w:r>
    </w:p>
    <w:p>
      <w:pPr>
        <w:spacing w:line="360" w:lineRule="auto"/>
        <w:ind w:firstLine="422" w:firstLineChars="200"/>
        <w:rPr>
          <w:rFonts w:eastAsiaTheme="minorEastAsia"/>
          <w:b/>
          <w:color w:val="auto"/>
          <w:highlight w:val="none"/>
        </w:rPr>
      </w:pPr>
      <w:r>
        <w:rPr>
          <w:rFonts w:hint="eastAsia"/>
          <w:b/>
          <w:color w:val="auto"/>
          <w:highlight w:val="none"/>
        </w:rPr>
        <w:t>3. “实质性响应条款响应情况”与应答文件其它内容冲突的，以“实质性响应条款响应情况”为准。</w:t>
      </w:r>
    </w:p>
    <w:p>
      <w:pPr>
        <w:rPr>
          <w:rFonts w:hint="eastAsia"/>
        </w:rPr>
        <w:sectPr>
          <w:pgSz w:w="11906" w:h="16838"/>
          <w:pgMar w:top="1440" w:right="1800" w:bottom="1440" w:left="1800" w:header="851" w:footer="992" w:gutter="0"/>
          <w:cols w:space="425" w:num="1"/>
          <w:docGrid w:type="lines" w:linePitch="312" w:charSpace="0"/>
        </w:sectPr>
      </w:pPr>
    </w:p>
    <w:bookmarkEnd w:id="120"/>
    <w:p>
      <w:pPr>
        <w:pStyle w:val="4"/>
        <w:numPr>
          <w:ilvl w:val="-1"/>
          <w:numId w:val="0"/>
        </w:numPr>
        <w:rPr>
          <w:rFonts w:hint="eastAsia"/>
        </w:rPr>
      </w:pPr>
      <w:bookmarkStart w:id="128" w:name="_Toc16751"/>
      <w:bookmarkStart w:id="129" w:name="_Toc2264"/>
      <w:bookmarkStart w:id="130" w:name="_Toc256695543"/>
      <w:bookmarkStart w:id="131" w:name="_Toc404177694"/>
      <w:bookmarkStart w:id="132" w:name="_Toc414430946"/>
      <w:bookmarkStart w:id="133" w:name="_Toc32071"/>
      <w:bookmarkStart w:id="134" w:name="_Toc257969835"/>
      <w:bookmarkStart w:id="135" w:name="_Toc414431084"/>
      <w:bookmarkStart w:id="136" w:name="_Toc256696421"/>
      <w:bookmarkStart w:id="137" w:name="_Toc256691667"/>
      <w:bookmarkStart w:id="138" w:name="_Toc256674351"/>
      <w:bookmarkStart w:id="139" w:name="_Toc256145691"/>
      <w:bookmarkStart w:id="140" w:name="_Toc256164785"/>
      <w:r>
        <w:rPr>
          <w:rFonts w:hint="eastAsia"/>
          <w:lang w:val="en-US" w:eastAsia="zh-CN"/>
        </w:rPr>
        <w:t>六、</w:t>
      </w:r>
      <w:r>
        <w:rPr>
          <w:rFonts w:hint="eastAsia"/>
        </w:rPr>
        <w:t>资格审查资料</w:t>
      </w:r>
      <w:bookmarkEnd w:id="128"/>
      <w:bookmarkEnd w:id="129"/>
    </w:p>
    <w:p>
      <w:pPr>
        <w:spacing w:line="360" w:lineRule="auto"/>
        <w:rPr>
          <w:rFonts w:ascii="宋体" w:hAnsi="宋体"/>
          <w:color w:val="auto"/>
          <w:szCs w:val="21"/>
          <w:highlight w:val="none"/>
        </w:rPr>
      </w:pPr>
      <w:r>
        <w:rPr>
          <w:rFonts w:hint="eastAsia" w:ascii="宋体" w:hAnsi="宋体"/>
          <w:color w:val="auto"/>
          <w:szCs w:val="21"/>
          <w:highlight w:val="none"/>
        </w:rPr>
        <w:t>内容至少包括：</w:t>
      </w:r>
    </w:p>
    <w:p>
      <w:pPr>
        <w:numPr>
          <w:ilvl w:val="-1"/>
          <w:numId w:val="0"/>
        </w:numPr>
        <w:spacing w:line="360" w:lineRule="auto"/>
        <w:outlineLvl w:val="0"/>
        <w:rPr>
          <w:rFonts w:hint="eastAsia" w:ascii="宋体" w:hAnsi="宋体"/>
          <w:color w:val="auto"/>
          <w:szCs w:val="21"/>
          <w:highlight w:val="none"/>
        </w:rPr>
      </w:pPr>
      <w:bookmarkStart w:id="141" w:name="_Toc18863"/>
      <w:r>
        <w:rPr>
          <w:rFonts w:hint="eastAsia" w:ascii="宋体" w:hAnsi="宋体"/>
          <w:color w:val="auto"/>
          <w:szCs w:val="21"/>
          <w:highlight w:val="none"/>
          <w:lang w:eastAsia="zh-CN"/>
        </w:rPr>
        <w:t>营业执照</w:t>
      </w:r>
      <w:r>
        <w:rPr>
          <w:rFonts w:hint="eastAsia" w:ascii="宋体" w:hAnsi="宋体"/>
          <w:color w:val="auto"/>
          <w:szCs w:val="21"/>
          <w:highlight w:val="none"/>
        </w:rPr>
        <w:t>；</w:t>
      </w:r>
      <w:bookmarkEnd w:id="141"/>
    </w:p>
    <w:p>
      <w:pPr>
        <w:numPr>
          <w:ilvl w:val="-1"/>
          <w:numId w:val="0"/>
        </w:numPr>
        <w:spacing w:line="360" w:lineRule="auto"/>
        <w:outlineLvl w:val="0"/>
        <w:rPr>
          <w:rFonts w:hint="eastAsia" w:ascii="宋体" w:hAnsi="宋体"/>
          <w:color w:val="auto"/>
          <w:szCs w:val="21"/>
          <w:highlight w:val="none"/>
        </w:rPr>
      </w:pPr>
      <w:bookmarkStart w:id="142" w:name="_Toc17334"/>
      <w:r>
        <w:rPr>
          <w:rFonts w:hint="eastAsia"/>
          <w:lang w:eastAsia="zh-CN"/>
        </w:rPr>
        <w:t>近3年在深圳市具有充电桩采购及安装工程业绩</w:t>
      </w:r>
      <w:bookmarkEnd w:id="142"/>
    </w:p>
    <w:p>
      <w:pPr>
        <w:numPr>
          <w:ilvl w:val="-1"/>
          <w:numId w:val="0"/>
        </w:numPr>
        <w:spacing w:line="360" w:lineRule="auto"/>
        <w:rPr>
          <w:rFonts w:hint="eastAsia"/>
          <w:lang w:val="en-US" w:eastAsia="zh-CN"/>
        </w:rPr>
      </w:pPr>
      <w:r>
        <w:rPr>
          <w:rFonts w:hint="eastAsia"/>
          <w:lang w:val="en-US" w:eastAsia="zh-CN"/>
        </w:rPr>
        <w:t>所使用充电桩</w:t>
      </w:r>
      <w:r>
        <w:rPr>
          <w:rFonts w:hint="eastAsia"/>
          <w:lang w:eastAsia="zh-CN"/>
        </w:rPr>
        <w:t>品牌的品牌</w:t>
      </w:r>
      <w:r>
        <w:rPr>
          <w:rFonts w:hint="eastAsia"/>
          <w:lang w:val="en-US" w:eastAsia="zh-CN"/>
        </w:rPr>
        <w:t>或品牌厂商授权文件</w:t>
      </w:r>
      <w:r>
        <w:rPr>
          <w:rFonts w:hint="eastAsia"/>
          <w:lang w:eastAsia="zh-CN"/>
        </w:rPr>
        <w:t>、</w:t>
      </w:r>
      <w:r>
        <w:rPr>
          <w:rFonts w:hint="eastAsia"/>
          <w:lang w:val="en-US" w:eastAsia="zh-CN"/>
        </w:rPr>
        <w:t>检测报告等</w:t>
      </w:r>
    </w:p>
    <w:p>
      <w:pPr>
        <w:numPr>
          <w:ilvl w:val="-1"/>
          <w:numId w:val="0"/>
        </w:numPr>
        <w:spacing w:line="360" w:lineRule="auto"/>
        <w:rPr>
          <w:rFonts w:hint="eastAsia"/>
          <w:lang w:val="en-US" w:eastAsia="zh-CN"/>
        </w:rPr>
        <w:sectPr>
          <w:pgSz w:w="11906" w:h="16838"/>
          <w:pgMar w:top="1440" w:right="1800" w:bottom="1440" w:left="1800" w:header="851" w:footer="992" w:gutter="0"/>
          <w:cols w:space="425" w:num="1"/>
          <w:docGrid w:type="lines" w:linePitch="312" w:charSpace="0"/>
        </w:sectPr>
      </w:pPr>
      <w:r>
        <w:rPr>
          <w:rFonts w:hint="eastAsia"/>
          <w:lang w:eastAsia="zh-CN"/>
        </w:rPr>
        <w:t>中标后不分包、转包</w:t>
      </w:r>
      <w:r>
        <w:rPr>
          <w:rFonts w:hint="eastAsia"/>
          <w:lang w:val="en-US" w:eastAsia="zh-CN"/>
        </w:rPr>
        <w:t>承诺函（格式自拟）</w:t>
      </w:r>
    </w:p>
    <w:bookmarkEnd w:id="130"/>
    <w:bookmarkEnd w:id="131"/>
    <w:bookmarkEnd w:id="132"/>
    <w:bookmarkEnd w:id="133"/>
    <w:bookmarkEnd w:id="134"/>
    <w:bookmarkEnd w:id="135"/>
    <w:bookmarkEnd w:id="136"/>
    <w:bookmarkEnd w:id="137"/>
    <w:p>
      <w:pPr>
        <w:ind w:firstLine="0" w:firstLineChars="0"/>
        <w:rPr>
          <w:rFonts w:hint="eastAsia" w:ascii="Arial" w:hAnsi="Arial" w:eastAsia="黑体"/>
          <w:b/>
          <w:sz w:val="32"/>
          <w:lang w:val="en-US" w:eastAsia="zh-CN"/>
        </w:rPr>
      </w:pPr>
      <w:r>
        <w:rPr>
          <w:rFonts w:hint="eastAsia" w:ascii="Arial" w:hAnsi="Arial" w:eastAsia="黑体"/>
          <w:b/>
          <w:sz w:val="32"/>
          <w:lang w:val="en-US" w:eastAsia="zh-CN"/>
        </w:rPr>
        <w:t>七、实施方案</w:t>
      </w:r>
    </w:p>
    <w:p>
      <w:pPr>
        <w:spacing w:line="360" w:lineRule="auto"/>
        <w:ind w:firstLine="0" w:firstLineChars="0"/>
        <w:rPr>
          <w:rFonts w:hint="default" w:ascii="宋体" w:hAnsi="宋体"/>
          <w:color w:val="auto"/>
          <w:sz w:val="21"/>
          <w:szCs w:val="21"/>
          <w:highlight w:val="none"/>
          <w:lang w:val="en-US" w:eastAsia="zh-CN"/>
        </w:rPr>
      </w:pPr>
      <w:r>
        <w:rPr>
          <w:rFonts w:hint="eastAsia" w:ascii="宋体" w:hAnsi="宋体"/>
          <w:color w:val="auto"/>
          <w:sz w:val="21"/>
          <w:szCs w:val="21"/>
          <w:highlight w:val="none"/>
          <w:lang w:val="en-US" w:eastAsia="zh-CN"/>
        </w:rPr>
        <w:t>内容至少包括（格式自拟）：</w:t>
      </w:r>
    </w:p>
    <w:p>
      <w:pPr>
        <w:spacing w:line="360" w:lineRule="auto"/>
        <w:ind w:firstLine="0" w:firstLine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拟投入的项目人员安排</w:t>
      </w:r>
    </w:p>
    <w:p>
      <w:pPr>
        <w:spacing w:line="360" w:lineRule="auto"/>
        <w:ind w:firstLine="0" w:firstLine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拟使用电缆、桥架及管材等主要附属设施的品牌、型号、技术参数及检测报告等</w:t>
      </w:r>
    </w:p>
    <w:p>
      <w:pPr>
        <w:spacing w:line="360" w:lineRule="auto"/>
        <w:ind w:firstLine="0" w:firstLineChars="0"/>
        <w:rPr>
          <w:rFonts w:hint="eastAsia" w:ascii="宋体" w:hAnsi="宋体" w:eastAsiaTheme="minorEastAsia" w:cstheme="minorBidi"/>
          <w:color w:val="auto"/>
          <w:sz w:val="21"/>
          <w:szCs w:val="21"/>
          <w:highlight w:val="none"/>
        </w:rPr>
      </w:pPr>
      <w:r>
        <w:rPr>
          <w:rFonts w:hint="eastAsia" w:ascii="宋体" w:hAnsi="宋体"/>
          <w:color w:val="auto"/>
          <w:sz w:val="21"/>
          <w:szCs w:val="21"/>
          <w:highlight w:val="none"/>
          <w:lang w:val="en-US" w:eastAsia="zh-CN"/>
        </w:rPr>
        <w:t>施工组织方案（需要明确</w:t>
      </w:r>
      <w:r>
        <w:rPr>
          <w:rFonts w:hint="eastAsia" w:ascii="宋体" w:hAnsi="宋体" w:eastAsiaTheme="minorEastAsia" w:cstheme="minorBidi"/>
          <w:color w:val="auto"/>
          <w:sz w:val="21"/>
          <w:szCs w:val="21"/>
          <w:highlight w:val="none"/>
        </w:rPr>
        <w:t>计划开工日期、完工日期和施工进度</w:t>
      </w:r>
      <w:r>
        <w:rPr>
          <w:rFonts w:hint="eastAsia" w:ascii="宋体" w:hAnsi="宋体"/>
          <w:color w:val="auto"/>
          <w:sz w:val="21"/>
          <w:szCs w:val="21"/>
          <w:highlight w:val="none"/>
          <w:lang w:val="en-US" w:eastAsia="zh-CN"/>
        </w:rPr>
        <w:t>）</w:t>
      </w:r>
    </w:p>
    <w:p>
      <w:pPr>
        <w:spacing w:line="360" w:lineRule="auto"/>
        <w:ind w:firstLine="0" w:firstLine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充电桩管理系统平台介绍</w:t>
      </w:r>
    </w:p>
    <w:p>
      <w:pPr>
        <w:ind w:firstLine="0" w:firstLineChars="0"/>
        <w:rPr>
          <w:rFonts w:hint="default"/>
          <w:sz w:val="28"/>
          <w:szCs w:val="28"/>
          <w:lang w:val="en-US" w:eastAsia="zh-CN"/>
        </w:rPr>
      </w:pPr>
    </w:p>
    <w:p>
      <w:pPr>
        <w:ind w:firstLine="0" w:firstLineChars="0"/>
        <w:rPr>
          <w:sz w:val="28"/>
          <w:szCs w:val="28"/>
        </w:rPr>
      </w:pPr>
    </w:p>
    <w:bookmarkEnd w:id="138"/>
    <w:bookmarkEnd w:id="139"/>
    <w:bookmarkEnd w:id="140"/>
    <w:p>
      <w:pPr>
        <w:spacing w:line="24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236B87"/>
    <w:multiLevelType w:val="singleLevel"/>
    <w:tmpl w:val="8F236B87"/>
    <w:lvl w:ilvl="0" w:tentative="0">
      <w:start w:val="9"/>
      <w:numFmt w:val="chineseCounting"/>
      <w:suff w:val="nothing"/>
      <w:lvlText w:val="%1、"/>
      <w:lvlJc w:val="left"/>
      <w:rPr>
        <w:rFonts w:hint="eastAsia"/>
      </w:rPr>
    </w:lvl>
  </w:abstractNum>
  <w:abstractNum w:abstractNumId="1">
    <w:nsid w:val="EC6F8BA9"/>
    <w:multiLevelType w:val="singleLevel"/>
    <w:tmpl w:val="EC6F8BA9"/>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0D3"/>
    <w:rsid w:val="002540D3"/>
    <w:rsid w:val="00272642"/>
    <w:rsid w:val="003845E6"/>
    <w:rsid w:val="003866AA"/>
    <w:rsid w:val="00426A3A"/>
    <w:rsid w:val="004E3C7C"/>
    <w:rsid w:val="00696263"/>
    <w:rsid w:val="006E7CB4"/>
    <w:rsid w:val="0071070A"/>
    <w:rsid w:val="00E37325"/>
    <w:rsid w:val="03581592"/>
    <w:rsid w:val="05E62693"/>
    <w:rsid w:val="07BF7965"/>
    <w:rsid w:val="099175AF"/>
    <w:rsid w:val="09DD0EBC"/>
    <w:rsid w:val="0C6A69ED"/>
    <w:rsid w:val="0D712ACB"/>
    <w:rsid w:val="0D9614B5"/>
    <w:rsid w:val="172A322A"/>
    <w:rsid w:val="174C201B"/>
    <w:rsid w:val="1C087BC7"/>
    <w:rsid w:val="1D296627"/>
    <w:rsid w:val="1D455802"/>
    <w:rsid w:val="1E2E4B08"/>
    <w:rsid w:val="1E8C77CE"/>
    <w:rsid w:val="1FBD3D6D"/>
    <w:rsid w:val="20B75C24"/>
    <w:rsid w:val="22C02F88"/>
    <w:rsid w:val="23067A4F"/>
    <w:rsid w:val="24FB513C"/>
    <w:rsid w:val="26A91247"/>
    <w:rsid w:val="26E83AEE"/>
    <w:rsid w:val="270F0F9C"/>
    <w:rsid w:val="27D8564F"/>
    <w:rsid w:val="28243EDB"/>
    <w:rsid w:val="28DA7E0D"/>
    <w:rsid w:val="302621DE"/>
    <w:rsid w:val="33385563"/>
    <w:rsid w:val="346C3F65"/>
    <w:rsid w:val="348657E8"/>
    <w:rsid w:val="36AD14EE"/>
    <w:rsid w:val="37DB5320"/>
    <w:rsid w:val="386761F5"/>
    <w:rsid w:val="398C5E79"/>
    <w:rsid w:val="3AF1594C"/>
    <w:rsid w:val="3E356182"/>
    <w:rsid w:val="3E430FA3"/>
    <w:rsid w:val="408F5678"/>
    <w:rsid w:val="412E2DA6"/>
    <w:rsid w:val="4200258C"/>
    <w:rsid w:val="42215709"/>
    <w:rsid w:val="427618DB"/>
    <w:rsid w:val="429F71DB"/>
    <w:rsid w:val="43631D7D"/>
    <w:rsid w:val="45284077"/>
    <w:rsid w:val="454D637C"/>
    <w:rsid w:val="47A32990"/>
    <w:rsid w:val="47DF2E5E"/>
    <w:rsid w:val="4AF50B16"/>
    <w:rsid w:val="4C3F3283"/>
    <w:rsid w:val="4CAD5D53"/>
    <w:rsid w:val="4D5E3A40"/>
    <w:rsid w:val="4F0A7755"/>
    <w:rsid w:val="4F407E61"/>
    <w:rsid w:val="51961386"/>
    <w:rsid w:val="527D3AB7"/>
    <w:rsid w:val="5333708A"/>
    <w:rsid w:val="542D3063"/>
    <w:rsid w:val="55224204"/>
    <w:rsid w:val="569D03A9"/>
    <w:rsid w:val="59432FC1"/>
    <w:rsid w:val="5A1A5236"/>
    <w:rsid w:val="5BA60770"/>
    <w:rsid w:val="62A94F88"/>
    <w:rsid w:val="632A6454"/>
    <w:rsid w:val="670A7F6C"/>
    <w:rsid w:val="6D1850F4"/>
    <w:rsid w:val="701177BA"/>
    <w:rsid w:val="703F7296"/>
    <w:rsid w:val="7040040B"/>
    <w:rsid w:val="720D6B83"/>
    <w:rsid w:val="722335BB"/>
    <w:rsid w:val="74E9163E"/>
    <w:rsid w:val="74F563F5"/>
    <w:rsid w:val="7DF14D55"/>
    <w:rsid w:val="7F2675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b/>
      <w:sz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ind w:firstLine="420"/>
    </w:pPr>
    <w:rPr>
      <w:rFonts w:ascii="Times New Roman" w:hAnsi="Times New Roman"/>
    </w:rPr>
  </w:style>
  <w:style w:type="paragraph" w:styleId="5">
    <w:name w:val="annotation text"/>
    <w:basedOn w:val="1"/>
    <w:link w:val="23"/>
    <w:qFormat/>
    <w:uiPriority w:val="0"/>
    <w:pPr>
      <w:jc w:val="left"/>
    </w:pPr>
  </w:style>
  <w:style w:type="paragraph" w:styleId="6">
    <w:name w:val="Body Text Indent"/>
    <w:basedOn w:val="1"/>
    <w:qFormat/>
    <w:uiPriority w:val="0"/>
    <w:pPr>
      <w:ind w:firstLine="720" w:firstLineChars="225"/>
    </w:pPr>
    <w:rPr>
      <w:rFonts w:ascii="仿宋_GB2312" w:eastAsia="仿宋_GB2312"/>
      <w:sz w:val="32"/>
    </w:rPr>
  </w:style>
  <w:style w:type="paragraph" w:styleId="7">
    <w:name w:val="Plain Text"/>
    <w:basedOn w:val="1"/>
    <w:qFormat/>
    <w:uiPriority w:val="0"/>
    <w:rPr>
      <w:rFonts w:ascii="宋体" w:hAnsi="Courier New"/>
    </w:rPr>
  </w:style>
  <w:style w:type="paragraph" w:styleId="8">
    <w:name w:val="Body Text Indent 2"/>
    <w:basedOn w:val="1"/>
    <w:qFormat/>
    <w:uiPriority w:val="0"/>
    <w:pPr>
      <w:spacing w:line="540" w:lineRule="exact"/>
      <w:ind w:firstLine="720" w:firstLineChars="225"/>
      <w:jc w:val="left"/>
    </w:pPr>
    <w:rPr>
      <w:rFonts w:ascii="仿宋_GB2312" w:eastAsia="仿宋_GB2312"/>
      <w:sz w:val="32"/>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rPr>
  </w:style>
  <w:style w:type="paragraph" w:styleId="11">
    <w:name w:val="toc 1"/>
    <w:basedOn w:val="1"/>
    <w:next w:val="1"/>
    <w:qFormat/>
    <w:uiPriority w:val="0"/>
  </w:style>
  <w:style w:type="paragraph" w:styleId="12">
    <w:name w:val="Body Text Indent 3"/>
    <w:basedOn w:val="1"/>
    <w:qFormat/>
    <w:uiPriority w:val="0"/>
    <w:pPr>
      <w:spacing w:after="120"/>
      <w:ind w:left="420" w:leftChars="200"/>
    </w:pPr>
    <w:rPr>
      <w:sz w:val="16"/>
      <w:szCs w:val="16"/>
    </w:rPr>
  </w:style>
  <w:style w:type="paragraph" w:styleId="13">
    <w:name w:val="toc 2"/>
    <w:basedOn w:val="1"/>
    <w:next w:val="1"/>
    <w:qFormat/>
    <w:uiPriority w:val="0"/>
    <w:pPr>
      <w:ind w:left="420" w:leftChars="200"/>
    </w:pPr>
  </w:style>
  <w:style w:type="paragraph" w:styleId="14">
    <w:name w:val="annotation subject"/>
    <w:basedOn w:val="5"/>
    <w:next w:val="5"/>
    <w:link w:val="24"/>
    <w:qFormat/>
    <w:uiPriority w:val="0"/>
    <w:rPr>
      <w:b/>
      <w:bCs/>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basedOn w:val="17"/>
    <w:qFormat/>
    <w:uiPriority w:val="0"/>
  </w:style>
  <w:style w:type="character" w:styleId="19">
    <w:name w:val="annotation reference"/>
    <w:basedOn w:val="17"/>
    <w:qFormat/>
    <w:uiPriority w:val="0"/>
    <w:rPr>
      <w:sz w:val="21"/>
      <w:szCs w:val="21"/>
    </w:rPr>
  </w:style>
  <w:style w:type="paragraph" w:customStyle="1" w:styleId="20">
    <w:name w:val="Char Char Char"/>
    <w:basedOn w:val="1"/>
    <w:qFormat/>
    <w:uiPriority w:val="0"/>
  </w:style>
  <w:style w:type="character" w:customStyle="1" w:styleId="21">
    <w:name w:val="font31"/>
    <w:basedOn w:val="17"/>
    <w:qFormat/>
    <w:uiPriority w:val="0"/>
    <w:rPr>
      <w:rFonts w:hint="eastAsia" w:ascii="宋体" w:hAnsi="宋体" w:eastAsia="宋体" w:cs="宋体"/>
      <w:color w:val="000000"/>
      <w:sz w:val="18"/>
      <w:szCs w:val="18"/>
      <w:u w:val="single"/>
    </w:rPr>
  </w:style>
  <w:style w:type="character" w:customStyle="1" w:styleId="22">
    <w:name w:val="font21"/>
    <w:basedOn w:val="17"/>
    <w:qFormat/>
    <w:uiPriority w:val="0"/>
    <w:rPr>
      <w:rFonts w:hint="eastAsia" w:ascii="宋体" w:hAnsi="宋体" w:eastAsia="宋体" w:cs="宋体"/>
      <w:color w:val="000000"/>
      <w:sz w:val="18"/>
      <w:szCs w:val="18"/>
      <w:u w:val="none"/>
    </w:rPr>
  </w:style>
  <w:style w:type="character" w:customStyle="1" w:styleId="23">
    <w:name w:val="批注文字 字符"/>
    <w:basedOn w:val="17"/>
    <w:link w:val="5"/>
    <w:qFormat/>
    <w:uiPriority w:val="0"/>
    <w:rPr>
      <w:rFonts w:asciiTheme="minorHAnsi" w:hAnsiTheme="minorHAnsi" w:eastAsiaTheme="minorEastAsia" w:cstheme="minorBidi"/>
      <w:kern w:val="2"/>
      <w:sz w:val="21"/>
      <w:szCs w:val="24"/>
    </w:rPr>
  </w:style>
  <w:style w:type="character" w:customStyle="1" w:styleId="24">
    <w:name w:val="批注主题 字符"/>
    <w:basedOn w:val="23"/>
    <w:link w:val="14"/>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29</Pages>
  <Words>1978</Words>
  <Characters>11279</Characters>
  <Lines>93</Lines>
  <Paragraphs>26</Paragraphs>
  <TotalTime>11</TotalTime>
  <ScaleCrop>false</ScaleCrop>
  <LinksUpToDate>false</LinksUpToDate>
  <CharactersWithSpaces>13231</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2021-04-14T07:09:00Z</dcterms:created>
  <dc:creator>SPOM</dc:creator>
  <cp:lastModifiedBy>jiaqiang9527</cp:lastModifiedBy>
  <cp:lastPrinted>2023-08-01T03:28:00Z</cp:lastPrinted>
  <dcterms:modified xsi:type="dcterms:W3CDTF">2023-08-01T06:56:43Z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E3BA63EBFBF94628A06BEB54110670A8</vt:lpwstr>
  </property>
</Properties>
</file>