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LinTimes" w:hAnsi="LinTimes" w:eastAsia="仿宋_GB2312" w:cs="LinTimes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LinTimes" w:hAnsi="LinTimes" w:eastAsia="仿宋_GB2312" w:cs="LinTimes"/>
          <w:color w:val="auto"/>
          <w:sz w:val="32"/>
          <w:szCs w:val="32"/>
          <w:highlight w:val="none"/>
          <w:lang w:eastAsia="zh-CN"/>
        </w:rPr>
        <w:t>附件</w:t>
      </w:r>
      <w:r>
        <w:rPr>
          <w:rFonts w:hint="eastAsia" w:ascii="LinTimes" w:hAnsi="LinTimes" w:eastAsia="仿宋_GB2312" w:cs="LinTimes"/>
          <w:color w:val="auto"/>
          <w:sz w:val="32"/>
          <w:szCs w:val="32"/>
          <w:highlight w:val="none"/>
          <w:lang w:val="en-US" w:eastAsia="zh-CN"/>
        </w:rPr>
        <w:t>1</w:t>
      </w:r>
    </w:p>
    <w:p>
      <w:pPr>
        <w:rPr>
          <w:rFonts w:hint="eastAsia" w:ascii="LinTimes" w:hAnsi="LinTimes" w:eastAsia="仿宋_GB2312" w:cs="LinTimes"/>
          <w:color w:val="auto"/>
          <w:sz w:val="22"/>
          <w:szCs w:val="22"/>
          <w:highlight w:val="none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color w:val="auto"/>
          <w:sz w:val="36"/>
          <w:szCs w:val="36"/>
          <w:highlight w:val="none"/>
          <w:lang w:eastAsia="zh-CN"/>
        </w:rPr>
      </w:pPr>
      <w:bookmarkStart w:id="0" w:name="_GoBack"/>
      <w:r>
        <w:rPr>
          <w:rFonts w:hint="eastAsia" w:ascii="宋体" w:hAnsi="宋体" w:eastAsia="宋体" w:cs="宋体"/>
          <w:b/>
          <w:bCs/>
          <w:color w:val="auto"/>
          <w:sz w:val="36"/>
          <w:szCs w:val="36"/>
          <w:highlight w:val="none"/>
          <w:lang w:eastAsia="zh-CN"/>
        </w:rPr>
        <w:t>商贸</w:t>
      </w:r>
      <w:r>
        <w:rPr>
          <w:rFonts w:hint="eastAsia" w:ascii="宋体" w:hAnsi="宋体" w:cs="宋体"/>
          <w:b/>
          <w:bCs/>
          <w:color w:val="auto"/>
          <w:sz w:val="36"/>
          <w:szCs w:val="36"/>
          <w:highlight w:val="none"/>
          <w:lang w:eastAsia="zh-CN"/>
        </w:rPr>
        <w:t>物流</w:t>
      </w:r>
      <w:r>
        <w:rPr>
          <w:rFonts w:hint="eastAsia" w:ascii="宋体" w:hAnsi="宋体" w:eastAsia="宋体" w:cs="宋体"/>
          <w:b/>
          <w:bCs/>
          <w:color w:val="auto"/>
          <w:sz w:val="36"/>
          <w:szCs w:val="36"/>
          <w:highlight w:val="none"/>
          <w:lang w:eastAsia="zh-CN"/>
        </w:rPr>
        <w:t>高质量发展专项行动工作台账（模板）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exact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36"/>
          <w:szCs w:val="32"/>
          <w:highlight w:val="non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" w:lineRule="exact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36"/>
          <w:szCs w:val="36"/>
          <w:highlight w:val="none"/>
          <w:lang w:eastAsia="zh-CN"/>
        </w:rPr>
      </w:pPr>
    </w:p>
    <w:tbl>
      <w:tblPr>
        <w:tblStyle w:val="4"/>
        <w:tblW w:w="141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4"/>
        <w:gridCol w:w="2972"/>
        <w:gridCol w:w="3197"/>
        <w:gridCol w:w="3300"/>
        <w:gridCol w:w="24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2174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重点任务</w:t>
            </w:r>
          </w:p>
        </w:tc>
        <w:tc>
          <w:tcPr>
            <w:tcW w:w="2972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落实举措</w:t>
            </w:r>
          </w:p>
        </w:tc>
        <w:tc>
          <w:tcPr>
            <w:tcW w:w="3197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预期目标</w:t>
            </w:r>
          </w:p>
        </w:tc>
        <w:tc>
          <w:tcPr>
            <w:tcW w:w="330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完成时限</w:t>
            </w:r>
          </w:p>
        </w:tc>
        <w:tc>
          <w:tcPr>
            <w:tcW w:w="2482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工作进展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</w:trPr>
        <w:tc>
          <w:tcPr>
            <w:tcW w:w="2174" w:type="dxa"/>
            <w:vMerge w:val="restart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LinTimes" w:hAnsi="LinTimes" w:eastAsia="仿宋_GB2312" w:cs="LinTimes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LinTimes" w:hAnsi="LinTimes" w:eastAsia="仿宋_GB2312" w:cs="LinTimes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1.优化商贸物流网络布局</w:t>
            </w:r>
          </w:p>
        </w:tc>
        <w:tc>
          <w:tcPr>
            <w:tcW w:w="2972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hint="default" w:ascii="LinTimes" w:hAnsi="LinTimes" w:eastAsia="仿宋_GB2312" w:cs="LinTimes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LinTimes" w:hAnsi="LinTimes" w:eastAsia="仿宋_GB2312" w:cs="LinTimes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LinTimes" w:hAnsi="LinTimes" w:eastAsia="仿宋_GB2312" w:cs="LinTimes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LinTimes" w:hAnsi="LinTimes" w:eastAsia="仿宋_GB2312" w:cs="LinTimes"/>
                <w:sz w:val="24"/>
                <w:szCs w:val="24"/>
                <w:lang w:eastAsia="zh-CN"/>
              </w:rPr>
              <w:t>）</w:t>
            </w:r>
            <w:r>
              <w:rPr>
                <w:rFonts w:hint="default" w:ascii="LinTimes" w:hAnsi="LinTimes" w:eastAsia="仿宋_GB2312" w:cs="LinTimes"/>
                <w:sz w:val="24"/>
                <w:szCs w:val="24"/>
                <w:lang w:eastAsia="zh-CN"/>
              </w:rPr>
              <w:t>推动新建或升级改造一批综合物流园区、配送（分拨）中心、末端配送网点</w:t>
            </w:r>
          </w:p>
        </w:tc>
        <w:tc>
          <w:tcPr>
            <w:tcW w:w="3197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hint="default" w:ascii="LinTimes" w:hAnsi="LinTimes" w:eastAsia="仿宋_GB2312" w:cs="LinTimes"/>
                <w:sz w:val="24"/>
                <w:szCs w:val="24"/>
                <w:lang w:eastAsia="zh-CN"/>
              </w:rPr>
            </w:pPr>
            <w:r>
              <w:rPr>
                <w:rFonts w:hint="default" w:ascii="LinTimes" w:hAnsi="LinTimes" w:eastAsia="仿宋_GB2312" w:cs="LinTimes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物流园区、</w:t>
            </w:r>
            <w:r>
              <w:rPr>
                <w:rFonts w:hint="default" w:ascii="LinTimes" w:hAnsi="LinTimes" w:eastAsia="仿宋_GB2312" w:cs="LinTimes"/>
                <w:sz w:val="24"/>
                <w:szCs w:val="24"/>
                <w:lang w:eastAsia="zh-CN"/>
              </w:rPr>
              <w:t>配送（分拨）中心</w:t>
            </w:r>
            <w:r>
              <w:rPr>
                <w:rFonts w:hint="default" w:ascii="LinTimes" w:hAnsi="LinTimes" w:eastAsia="仿宋_GB2312" w:cs="LinTimes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、末端配送网点</w:t>
            </w:r>
            <w:r>
              <w:rPr>
                <w:rFonts w:hint="default" w:ascii="LinTimes" w:hAnsi="LinTimes" w:eastAsia="仿宋_GB2312" w:cs="LinTimes"/>
                <w:sz w:val="24"/>
                <w:szCs w:val="24"/>
                <w:lang w:eastAsia="zh-CN"/>
              </w:rPr>
              <w:t>各达到</w:t>
            </w:r>
          </w:p>
          <w:p>
            <w:pPr>
              <w:jc w:val="both"/>
              <w:rPr>
                <w:rFonts w:hint="default" w:ascii="LinTimes" w:hAnsi="LinTimes" w:eastAsia="仿宋_GB2312" w:cs="LinTimes"/>
                <w:color w:val="auto"/>
                <w:sz w:val="24"/>
                <w:szCs w:val="24"/>
                <w:highlight w:val="none"/>
                <w:u w:val="single"/>
                <w:vertAlign w:val="baseline"/>
                <w:lang w:val="en-US" w:eastAsia="zh-CN"/>
              </w:rPr>
            </w:pPr>
            <w:r>
              <w:rPr>
                <w:rFonts w:hint="default" w:ascii="LinTimes" w:hAnsi="LinTimes" w:eastAsia="仿宋_GB2312" w:cs="LinTimes"/>
                <w:color w:val="auto"/>
                <w:sz w:val="24"/>
                <w:szCs w:val="24"/>
                <w:highlight w:val="none"/>
                <w:u w:val="single"/>
                <w:vertAlign w:val="baseline"/>
                <w:lang w:val="en-US" w:eastAsia="zh-CN"/>
              </w:rPr>
              <w:t xml:space="preserve">  </w:t>
            </w:r>
            <w:r>
              <w:rPr>
                <w:rFonts w:hint="default" w:ascii="LinTimes" w:hAnsi="LinTimes" w:eastAsia="仿宋_GB2312" w:cs="LinTimes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个、</w:t>
            </w:r>
            <w:r>
              <w:rPr>
                <w:rFonts w:hint="default" w:ascii="LinTimes" w:hAnsi="LinTimes" w:eastAsia="仿宋_GB2312" w:cs="LinTimes"/>
                <w:color w:val="auto"/>
                <w:sz w:val="24"/>
                <w:szCs w:val="24"/>
                <w:highlight w:val="none"/>
                <w:u w:val="single"/>
                <w:vertAlign w:val="baseline"/>
                <w:lang w:val="en-US" w:eastAsia="zh-CN"/>
              </w:rPr>
              <w:t xml:space="preserve">  </w:t>
            </w:r>
            <w:r>
              <w:rPr>
                <w:rFonts w:hint="default" w:ascii="LinTimes" w:hAnsi="LinTimes" w:eastAsia="仿宋_GB2312" w:cs="LinTimes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个、</w:t>
            </w:r>
            <w:r>
              <w:rPr>
                <w:rFonts w:hint="default" w:ascii="LinTimes" w:hAnsi="LinTimes" w:eastAsia="仿宋_GB2312" w:cs="LinTimes"/>
                <w:color w:val="auto"/>
                <w:sz w:val="24"/>
                <w:szCs w:val="24"/>
                <w:highlight w:val="none"/>
                <w:u w:val="single"/>
                <w:vertAlign w:val="baseline"/>
                <w:lang w:val="en-US" w:eastAsia="zh-CN"/>
              </w:rPr>
              <w:t xml:space="preserve">  </w:t>
            </w:r>
            <w:r>
              <w:rPr>
                <w:rFonts w:hint="default" w:ascii="LinTimes" w:hAnsi="LinTimes" w:eastAsia="仿宋_GB2312" w:cs="LinTimes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个。</w:t>
            </w:r>
          </w:p>
        </w:tc>
        <w:tc>
          <w:tcPr>
            <w:tcW w:w="3300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LinTimes" w:hAnsi="LinTimes" w:eastAsia="仿宋_GB2312" w:cs="LinTimes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LinTimes" w:hAnsi="LinTimes" w:eastAsia="仿宋_GB2312" w:cs="LinTimes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2025年底</w:t>
            </w:r>
          </w:p>
        </w:tc>
        <w:tc>
          <w:tcPr>
            <w:tcW w:w="2482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LinTimes" w:hAnsi="LinTimes" w:eastAsia="仿宋_GB2312" w:cs="LinTimes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2174" w:type="dxa"/>
            <w:vMerge w:val="continue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LinTimes" w:hAnsi="LinTimes" w:eastAsia="仿宋_GB2312" w:cs="LinTimes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97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LinTimes" w:hAnsi="LinTimes" w:eastAsia="仿宋_GB2312" w:cs="LinTimes"/>
                <w:sz w:val="24"/>
                <w:szCs w:val="24"/>
                <w:lang w:val="en-US" w:eastAsia="zh-CN"/>
              </w:rPr>
            </w:pPr>
            <w:r>
              <w:rPr>
                <w:rFonts w:hint="default" w:ascii="LinTimes" w:hAnsi="LinTimes" w:eastAsia="仿宋_GB2312" w:cs="LinTimes"/>
                <w:sz w:val="24"/>
                <w:szCs w:val="24"/>
                <w:lang w:val="en-US" w:eastAsia="zh-CN"/>
              </w:rPr>
              <w:t>（2）...</w:t>
            </w:r>
          </w:p>
        </w:tc>
        <w:tc>
          <w:tcPr>
            <w:tcW w:w="3197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hint="default" w:ascii="LinTimes" w:hAnsi="LinTimes" w:eastAsia="仿宋_GB2312" w:cs="LinTimes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300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LinTimes" w:hAnsi="LinTimes" w:eastAsia="仿宋_GB2312" w:cs="LinTimes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482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LinTimes" w:hAnsi="LinTimes" w:eastAsia="仿宋_GB2312" w:cs="LinTimes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2174" w:type="dxa"/>
            <w:vMerge w:val="restart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LinTimes" w:hAnsi="LinTimes" w:eastAsia="仿宋_GB2312" w:cs="LinTimes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LinTimes" w:hAnsi="LinTimes" w:eastAsia="仿宋_GB2312" w:cs="LinTimes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2.提升商贸物流标准化水平</w:t>
            </w:r>
          </w:p>
        </w:tc>
        <w:tc>
          <w:tcPr>
            <w:tcW w:w="2972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LinTimes" w:hAnsi="LinTimes" w:eastAsia="仿宋_GB2312" w:cs="LinTimes"/>
                <w:sz w:val="32"/>
                <w:szCs w:val="32"/>
                <w:lang w:eastAsia="zh-CN"/>
              </w:rPr>
            </w:pPr>
            <w:r>
              <w:rPr>
                <w:rFonts w:hint="eastAsia" w:ascii="LinTimes" w:hAnsi="LinTimes" w:eastAsia="仿宋_GB2312" w:cs="LinTimes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LinTimes" w:hAnsi="LinTimes" w:eastAsia="仿宋_GB2312" w:cs="LinTimes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LinTimes" w:hAnsi="LinTimes" w:eastAsia="仿宋_GB2312" w:cs="LinTimes"/>
                <w:sz w:val="24"/>
                <w:szCs w:val="24"/>
                <w:lang w:eastAsia="zh-CN"/>
              </w:rPr>
              <w:t>）</w:t>
            </w:r>
            <w:r>
              <w:rPr>
                <w:rFonts w:hint="default" w:ascii="LinTimes" w:hAnsi="LinTimes" w:eastAsia="仿宋_GB2312" w:cs="LinTimes"/>
                <w:sz w:val="24"/>
                <w:szCs w:val="24"/>
                <w:lang w:eastAsia="zh-CN"/>
              </w:rPr>
              <w:t>推广应用标准托盘（1200mm×1000mm）、标准物流周转箱（筐）</w:t>
            </w:r>
          </w:p>
        </w:tc>
        <w:tc>
          <w:tcPr>
            <w:tcW w:w="3197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LinTimes" w:hAnsi="LinTimes" w:eastAsia="仿宋_GB2312" w:cs="LinTimes"/>
                <w:sz w:val="24"/>
                <w:szCs w:val="24"/>
                <w:lang w:val="en-US" w:eastAsia="zh-CN"/>
              </w:rPr>
            </w:pPr>
            <w:r>
              <w:rPr>
                <w:rFonts w:hint="default" w:ascii="LinTimes" w:hAnsi="LinTimes" w:eastAsia="仿宋_GB2312" w:cs="LinTimes"/>
                <w:sz w:val="24"/>
                <w:szCs w:val="24"/>
                <w:lang w:val="en-US" w:eastAsia="zh-CN"/>
              </w:rPr>
              <w:t>标准托盘约有</w:t>
            </w:r>
            <w:r>
              <w:rPr>
                <w:rFonts w:hint="default" w:ascii="LinTimes" w:hAnsi="LinTimes" w:eastAsia="仿宋_GB2312" w:cs="LinTimes"/>
                <w:sz w:val="24"/>
                <w:szCs w:val="24"/>
                <w:u w:val="single"/>
                <w:lang w:val="en-US" w:eastAsia="zh-CN"/>
              </w:rPr>
              <w:t xml:space="preserve">  </w:t>
            </w:r>
            <w:r>
              <w:rPr>
                <w:rFonts w:hint="default" w:ascii="LinTimes" w:hAnsi="LinTimes" w:eastAsia="仿宋_GB2312" w:cs="LinTimes"/>
                <w:sz w:val="24"/>
                <w:szCs w:val="24"/>
                <w:u w:val="none"/>
                <w:lang w:val="en-US" w:eastAsia="zh-CN"/>
              </w:rPr>
              <w:t>万片，标准物流周转箱</w:t>
            </w:r>
            <w:r>
              <w:rPr>
                <w:rFonts w:hint="default" w:ascii="LinTimes" w:hAnsi="LinTimes" w:eastAsia="仿宋_GB2312" w:cs="LinTimes"/>
                <w:sz w:val="24"/>
                <w:szCs w:val="24"/>
                <w:lang w:eastAsia="zh-CN"/>
              </w:rPr>
              <w:t>（筐）</w:t>
            </w:r>
            <w:r>
              <w:rPr>
                <w:rFonts w:hint="default" w:ascii="LinTimes" w:hAnsi="LinTimes" w:eastAsia="仿宋_GB2312" w:cs="LinTimes"/>
                <w:sz w:val="24"/>
                <w:szCs w:val="24"/>
                <w:u w:val="none"/>
                <w:lang w:val="en-US" w:eastAsia="zh-CN"/>
              </w:rPr>
              <w:t>约有</w:t>
            </w:r>
            <w:r>
              <w:rPr>
                <w:rFonts w:hint="default" w:ascii="LinTimes" w:hAnsi="LinTimes" w:eastAsia="仿宋_GB2312" w:cs="LinTimes"/>
                <w:sz w:val="24"/>
                <w:szCs w:val="24"/>
                <w:u w:val="single"/>
                <w:lang w:val="en-US" w:eastAsia="zh-CN"/>
              </w:rPr>
              <w:t xml:space="preserve">  </w:t>
            </w:r>
            <w:r>
              <w:rPr>
                <w:rFonts w:hint="default" w:ascii="LinTimes" w:hAnsi="LinTimes" w:eastAsia="仿宋_GB2312" w:cs="LinTimes"/>
                <w:sz w:val="24"/>
                <w:szCs w:val="24"/>
                <w:u w:val="none"/>
                <w:lang w:val="en-US" w:eastAsia="zh-CN"/>
              </w:rPr>
              <w:t>万个，使用标准物流载具的商贸物流企业比率达到</w:t>
            </w:r>
            <w:r>
              <w:rPr>
                <w:rFonts w:hint="default" w:ascii="LinTimes" w:hAnsi="LinTimes" w:eastAsia="仿宋_GB2312" w:cs="LinTimes"/>
                <w:sz w:val="24"/>
                <w:szCs w:val="24"/>
                <w:u w:val="single"/>
                <w:lang w:val="en-US" w:eastAsia="zh-CN"/>
              </w:rPr>
              <w:t xml:space="preserve">  </w:t>
            </w:r>
            <w:r>
              <w:rPr>
                <w:rFonts w:hint="default" w:ascii="LinTimes" w:hAnsi="LinTimes" w:eastAsia="仿宋_GB2312" w:cs="LinTimes"/>
                <w:sz w:val="24"/>
                <w:szCs w:val="24"/>
                <w:u w:val="none"/>
                <w:lang w:val="en-US" w:eastAsia="zh-CN"/>
              </w:rPr>
              <w:t>%。</w:t>
            </w:r>
          </w:p>
        </w:tc>
        <w:tc>
          <w:tcPr>
            <w:tcW w:w="33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LinTimes" w:hAnsi="LinTimes" w:eastAsia="仿宋_GB2312" w:cs="LinTimes"/>
                <w:color w:val="auto"/>
                <w:sz w:val="32"/>
                <w:szCs w:val="32"/>
                <w:highlight w:val="none"/>
                <w:u w:val="single"/>
                <w:vertAlign w:val="baseline"/>
                <w:lang w:val="en-US" w:eastAsia="zh-CN"/>
              </w:rPr>
            </w:pPr>
            <w:r>
              <w:rPr>
                <w:rFonts w:hint="default" w:ascii="LinTimes" w:hAnsi="LinTimes" w:eastAsia="仿宋_GB2312" w:cs="LinTimes"/>
                <w:sz w:val="24"/>
                <w:szCs w:val="24"/>
                <w:lang w:val="en-US" w:eastAsia="zh-CN"/>
              </w:rPr>
              <w:t>2025年底</w:t>
            </w:r>
          </w:p>
        </w:tc>
        <w:tc>
          <w:tcPr>
            <w:tcW w:w="248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LinTimes" w:hAnsi="LinTimes" w:eastAsia="仿宋_GB2312" w:cs="LinTimes"/>
                <w:color w:val="auto"/>
                <w:sz w:val="32"/>
                <w:szCs w:val="32"/>
                <w:highlight w:val="none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2174" w:type="dxa"/>
            <w:vMerge w:val="continue"/>
            <w:tcBorders>
              <w:lef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hint="default" w:ascii="LinTimes" w:hAnsi="LinTimes" w:eastAsia="仿宋_GB2312" w:cs="LinTimes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972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LinTimes" w:hAnsi="LinTimes" w:eastAsia="仿宋_GB2312" w:cs="LinTimes"/>
                <w:sz w:val="24"/>
                <w:szCs w:val="24"/>
                <w:lang w:val="en-US" w:eastAsia="zh-CN"/>
              </w:rPr>
            </w:pPr>
            <w:r>
              <w:rPr>
                <w:rFonts w:hint="eastAsia" w:ascii="LinTimes" w:hAnsi="LinTimes" w:eastAsia="仿宋_GB2312" w:cs="LinTimes"/>
                <w:sz w:val="24"/>
                <w:szCs w:val="24"/>
                <w:lang w:val="en-US" w:eastAsia="zh-CN"/>
              </w:rPr>
              <w:t>（2）</w:t>
            </w:r>
            <w:r>
              <w:rPr>
                <w:rFonts w:hint="default" w:ascii="LinTimes" w:hAnsi="LinTimes" w:eastAsia="仿宋_GB2312" w:cs="LinTimes"/>
                <w:sz w:val="24"/>
                <w:szCs w:val="24"/>
                <w:lang w:val="en-US" w:eastAsia="zh-CN"/>
              </w:rPr>
              <w:t>...</w:t>
            </w:r>
          </w:p>
        </w:tc>
        <w:tc>
          <w:tcPr>
            <w:tcW w:w="3197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LinTimes" w:hAnsi="LinTimes" w:eastAsia="仿宋_GB2312" w:cs="LinTimes"/>
                <w:sz w:val="24"/>
                <w:szCs w:val="24"/>
                <w:lang w:val="en-US" w:eastAsia="zh-CN"/>
              </w:rPr>
            </w:pPr>
          </w:p>
        </w:tc>
        <w:tc>
          <w:tcPr>
            <w:tcW w:w="33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LinTimes" w:hAnsi="LinTimes" w:eastAsia="仿宋_GB2312" w:cs="LinTimes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48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hint="default" w:ascii="LinTimes" w:hAnsi="LinTimes" w:eastAsia="仿宋_GB2312" w:cs="LinTimes"/>
                <w:color w:val="auto"/>
                <w:sz w:val="32"/>
                <w:szCs w:val="32"/>
                <w:highlight w:val="none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2174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hint="default" w:ascii="LinTimes" w:hAnsi="LinTimes" w:eastAsia="仿宋_GB2312" w:cs="LinTimes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LinTimes" w:hAnsi="LinTimes" w:eastAsia="仿宋_GB2312" w:cs="LinTimes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...</w:t>
            </w:r>
          </w:p>
        </w:tc>
        <w:tc>
          <w:tcPr>
            <w:tcW w:w="2972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hint="default" w:ascii="LinTimes" w:hAnsi="LinTimes" w:eastAsia="仿宋_GB2312" w:cs="LinTimes"/>
                <w:sz w:val="24"/>
                <w:szCs w:val="24"/>
                <w:lang w:eastAsia="zh-CN"/>
              </w:rPr>
            </w:pPr>
          </w:p>
        </w:tc>
        <w:tc>
          <w:tcPr>
            <w:tcW w:w="3197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LinTimes" w:hAnsi="LinTimes" w:eastAsia="仿宋_GB2312" w:cs="LinTimes"/>
                <w:sz w:val="24"/>
                <w:szCs w:val="24"/>
                <w:lang w:val="en-US" w:eastAsia="zh-CN"/>
              </w:rPr>
            </w:pPr>
          </w:p>
        </w:tc>
        <w:tc>
          <w:tcPr>
            <w:tcW w:w="33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hint="default" w:ascii="LinTimes" w:hAnsi="LinTimes" w:eastAsia="仿宋_GB2312" w:cs="LinTimes"/>
                <w:color w:val="auto"/>
                <w:sz w:val="32"/>
                <w:szCs w:val="32"/>
                <w:highlight w:val="none"/>
                <w:vertAlign w:val="baseline"/>
                <w:lang w:eastAsia="zh-CN"/>
              </w:rPr>
            </w:pPr>
          </w:p>
        </w:tc>
        <w:tc>
          <w:tcPr>
            <w:tcW w:w="248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hint="default" w:ascii="LinTimes" w:hAnsi="LinTimes" w:eastAsia="仿宋_GB2312" w:cs="LinTimes"/>
                <w:color w:val="auto"/>
                <w:sz w:val="32"/>
                <w:szCs w:val="32"/>
                <w:highlight w:val="none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2174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hint="default" w:ascii="LinTimes" w:hAnsi="LinTimes" w:eastAsia="仿宋_GB2312" w:cs="LinTimes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LinTimes" w:hAnsi="LinTimes" w:eastAsia="仿宋_GB2312" w:cs="LinTimes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...</w:t>
            </w:r>
          </w:p>
        </w:tc>
        <w:tc>
          <w:tcPr>
            <w:tcW w:w="2972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hint="default" w:ascii="LinTimes" w:hAnsi="LinTimes" w:eastAsia="仿宋_GB2312" w:cs="LinTimes"/>
                <w:sz w:val="24"/>
                <w:szCs w:val="24"/>
                <w:lang w:eastAsia="zh-CN"/>
              </w:rPr>
            </w:pPr>
          </w:p>
        </w:tc>
        <w:tc>
          <w:tcPr>
            <w:tcW w:w="3197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hint="default" w:ascii="LinTimes" w:hAnsi="LinTimes" w:eastAsia="仿宋_GB2312" w:cs="LinTimes"/>
                <w:sz w:val="24"/>
                <w:szCs w:val="24"/>
                <w:lang w:val="en-US" w:eastAsia="zh-CN"/>
              </w:rPr>
            </w:pPr>
          </w:p>
        </w:tc>
        <w:tc>
          <w:tcPr>
            <w:tcW w:w="33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hint="default" w:ascii="LinTimes" w:hAnsi="LinTimes" w:eastAsia="仿宋_GB2312" w:cs="LinTimes"/>
                <w:color w:val="auto"/>
                <w:sz w:val="32"/>
                <w:szCs w:val="32"/>
                <w:highlight w:val="none"/>
                <w:vertAlign w:val="baseline"/>
                <w:lang w:eastAsia="zh-CN"/>
              </w:rPr>
            </w:pPr>
          </w:p>
        </w:tc>
        <w:tc>
          <w:tcPr>
            <w:tcW w:w="248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hint="default" w:ascii="LinTimes" w:hAnsi="LinTimes" w:eastAsia="仿宋_GB2312" w:cs="LinTimes"/>
                <w:color w:val="auto"/>
                <w:sz w:val="32"/>
                <w:szCs w:val="32"/>
                <w:highlight w:val="none"/>
                <w:vertAlign w:val="baseline"/>
                <w:lang w:eastAsia="zh-CN"/>
              </w:rPr>
            </w:pPr>
          </w:p>
        </w:tc>
      </w:tr>
    </w:tbl>
    <w:p>
      <w:r>
        <w:rPr>
          <w:rFonts w:hint="eastAsia" w:ascii="LinTimes" w:hAnsi="LinTimes" w:eastAsia="仿宋_GB2312" w:cs="LinTimes"/>
          <w:sz w:val="24"/>
          <w:szCs w:val="24"/>
          <w:lang w:val="en-US" w:eastAsia="zh-CN"/>
        </w:rPr>
        <w:t>注：各省级商务主管部门结合行动计划主要任务和本地实际情况，提出落实举措、预期目标和完成时限。</w:t>
      </w:r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LinTimes">
    <w:altName w:val="Times New Roman"/>
    <w:panose1 w:val="02020603050405020304"/>
    <w:charset w:val="00"/>
    <w:family w:val="auto"/>
    <w:pitch w:val="default"/>
    <w:sig w:usb0="00000000" w:usb1="00000000" w:usb2="00000008" w:usb3="00000000" w:csb0="400001FF" w:csb1="F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6CF7D2B"/>
    <w:rsid w:val="13392420"/>
    <w:rsid w:val="66A43552"/>
    <w:rsid w:val="D6CF7D2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Style w:val="3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2021-08-09T18:31:00Z</dcterms:created>
  <dc:creator>kylin</dc:creator>
  <cp:lastModifiedBy>史蒂芬·周</cp:lastModifiedBy>
  <dcterms:modified xsi:type="dcterms:W3CDTF">2021-08-10T03:44:39Z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ED4EDAB96D614A7D86CDD47FE45C2D96</vt:lpwstr>
  </property>
</Properties>
</file>